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2049"/>
        <w:spacing w:before="276" w:line="213" w:lineRule="auto"/>
        <w:rPr/>
      </w:pPr>
      <w:r>
        <w:rPr>
          <w:b/>
          <w:bCs/>
          <w:color w:val="FF0000"/>
          <w:spacing w:val="-17"/>
        </w:rPr>
        <w:t>柳</w:t>
      </w:r>
      <w:r>
        <w:rPr>
          <w:color w:val="FF0000"/>
          <w:spacing w:val="156"/>
        </w:rPr>
        <w:t xml:space="preserve">  </w:t>
      </w:r>
      <w:r>
        <w:rPr>
          <w:b/>
          <w:bCs/>
          <w:color w:val="FF0000"/>
          <w:spacing w:val="-17"/>
        </w:rPr>
        <w:t>州</w:t>
      </w:r>
      <w:r>
        <w:rPr>
          <w:color w:val="FF0000"/>
          <w:spacing w:val="157"/>
        </w:rPr>
        <w:t xml:space="preserve">  </w:t>
      </w:r>
      <w:r>
        <w:rPr>
          <w:b/>
          <w:bCs/>
          <w:color w:val="FF0000"/>
          <w:spacing w:val="-17"/>
        </w:rPr>
        <w:t>市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157"/>
        <w:spacing w:before="277" w:line="215" w:lineRule="auto"/>
        <w:rPr/>
      </w:pPr>
      <w:r>
        <w:rPr>
          <w:b/>
          <w:bCs/>
          <w:color w:val="FF0000"/>
          <w:spacing w:val="-18"/>
        </w:rPr>
        <w:t>人</w:t>
      </w:r>
      <w:r>
        <w:rPr>
          <w:color w:val="FF0000"/>
          <w:spacing w:val="-106"/>
        </w:rPr>
        <w:t xml:space="preserve"> </w:t>
      </w:r>
      <w:r>
        <w:rPr>
          <w:b/>
          <w:bCs/>
          <w:color w:val="FF0000"/>
          <w:spacing w:val="-18"/>
        </w:rPr>
        <w:t>民</w:t>
      </w:r>
      <w:r>
        <w:rPr>
          <w:color w:val="FF0000"/>
          <w:spacing w:val="-156"/>
        </w:rPr>
        <w:t xml:space="preserve"> </w:t>
      </w:r>
      <w:r>
        <w:rPr>
          <w:b/>
          <w:bCs/>
          <w:color w:val="FF0000"/>
          <w:spacing w:val="-18"/>
        </w:rPr>
        <w:t>政</w:t>
      </w:r>
      <w:r>
        <w:rPr>
          <w:color w:val="FF0000"/>
          <w:spacing w:val="-156"/>
        </w:rPr>
        <w:t xml:space="preserve"> </w:t>
      </w:r>
      <w:r>
        <w:rPr>
          <w:b/>
          <w:bCs/>
          <w:color w:val="FF0000"/>
          <w:spacing w:val="-18"/>
        </w:rPr>
        <w:t>府</w:t>
      </w:r>
      <w:r>
        <w:rPr>
          <w:color w:val="FF0000"/>
          <w:spacing w:val="-150"/>
        </w:rPr>
        <w:t xml:space="preserve"> </w:t>
      </w:r>
      <w:r>
        <w:rPr>
          <w:b/>
          <w:bCs/>
          <w:color w:val="FF0000"/>
          <w:spacing w:val="-18"/>
        </w:rPr>
        <w:t>文</w:t>
      </w:r>
      <w:r>
        <w:rPr>
          <w:color w:val="FF0000"/>
          <w:spacing w:val="-151"/>
        </w:rPr>
        <w:t xml:space="preserve"> </w:t>
      </w:r>
      <w:r>
        <w:rPr>
          <w:b/>
          <w:bCs/>
          <w:color w:val="FF0000"/>
          <w:spacing w:val="-18"/>
        </w:rPr>
        <w:t>件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3032"/>
        <w:spacing w:before="101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  <w:position w:val="2"/>
        </w:rPr>
        <w:t>柳政规〔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2021</w:t>
      </w:r>
      <w:r>
        <w:rPr>
          <w:rFonts w:ascii="FangSong_GB2312" w:hAnsi="FangSong_GB2312" w:eastAsia="FangSong_GB2312" w:cs="FangSong_GB2312"/>
          <w:sz w:val="31"/>
          <w:szCs w:val="31"/>
          <w:spacing w:val="6"/>
          <w:position w:val="2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18</w:t>
      </w:r>
      <w:r>
        <w:rPr>
          <w:rFonts w:ascii="Times New Roman" w:hAnsi="Times New Roman" w:eastAsia="Times New Roman" w:cs="Times New Roman"/>
          <w:sz w:val="31"/>
          <w:szCs w:val="31"/>
          <w:spacing w:val="29"/>
          <w:position w:val="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  <w:position w:val="2"/>
        </w:rPr>
        <w:t>号</w:t>
      </w:r>
    </w:p>
    <w:p>
      <w:pPr>
        <w:spacing w:before="139" w:line="60" w:lineRule="exact"/>
        <w:rPr/>
      </w:pPr>
      <w:r>
        <w:rPr>
          <w:position w:val="-1"/>
        </w:rPr>
        <w:drawing>
          <wp:inline distT="0" distB="0" distL="0" distR="0">
            <wp:extent cx="5715000" cy="381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5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534"/>
        <w:spacing w:before="140" w:line="218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4"/>
        </w:rPr>
        <w:t>柳州市人民政府印发</w:t>
      </w:r>
    </w:p>
    <w:p>
      <w:pPr>
        <w:pStyle w:val="BodyText"/>
        <w:ind w:left="1403"/>
        <w:spacing w:before="30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6"/>
        </w:rPr>
        <w:t>《柳州市关于促进高新技术产业</w:t>
      </w:r>
    </w:p>
    <w:p>
      <w:pPr>
        <w:pStyle w:val="BodyText"/>
        <w:ind w:left="765"/>
        <w:spacing w:line="602" w:lineRule="exact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5"/>
          <w:position w:val="3"/>
        </w:rPr>
        <w:t>开发区高质量发展的若干措施》的通知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9" w:right="98" w:hanging="8"/>
        <w:spacing w:before="101" w:line="33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各县、</w:t>
      </w:r>
      <w:r>
        <w:rPr>
          <w:rFonts w:ascii="FangSong_GB2312" w:hAnsi="FangSong_GB2312" w:eastAsia="FangSong_GB2312" w:cs="FangSong_GB2312"/>
          <w:sz w:val="31"/>
          <w:szCs w:val="31"/>
          <w:spacing w:val="-8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区人民政府，市直机关各有关委、办、局，柳东新区、阳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和工业新区（北部生态新区）管委会，各有关单位：</w:t>
      </w:r>
    </w:p>
    <w:p>
      <w:pPr>
        <w:ind w:left="13" w:firstLine="470"/>
        <w:spacing w:before="3" w:line="33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>《柳州市关于促进高新技术产业开发区高质量发展的若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干措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施》已经市委、市人民政府同意，现印发给你们，请认真组织实施。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ind w:left="5430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柳州市人民政府</w:t>
      </w:r>
    </w:p>
    <w:p>
      <w:pPr>
        <w:ind w:left="5286"/>
        <w:spacing w:before="144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  <w:spacing w:val="28"/>
          <w:position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  <w:position w:val="1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3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position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  <w:position w:val="1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6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29  </w:t>
      </w:r>
      <w:r>
        <w:rPr>
          <w:rFonts w:ascii="FangSong_GB2312" w:hAnsi="FangSong_GB2312" w:eastAsia="FangSong_GB2312" w:cs="FangSong_GB2312"/>
          <w:sz w:val="31"/>
          <w:szCs w:val="31"/>
          <w:spacing w:val="-4"/>
          <w:position w:val="1"/>
        </w:rPr>
        <w:t>日</w:t>
      </w:r>
    </w:p>
    <w:p>
      <w:pPr>
        <w:spacing w:line="418" w:lineRule="exact"/>
        <w:sectPr>
          <w:footerReference w:type="default" r:id="rId1"/>
          <w:pgSz w:w="11906" w:h="16839"/>
          <w:pgMar w:top="1431" w:right="1264" w:bottom="1622" w:left="1531" w:header="0" w:footer="1255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2082"/>
        <w:spacing w:before="140" w:line="221" w:lineRule="auto"/>
        <w:rPr>
          <w:sz w:val="43"/>
          <w:szCs w:val="43"/>
        </w:rPr>
      </w:pPr>
      <w:r>
        <w:rPr>
          <w:sz w:val="43"/>
          <w:szCs w:val="43"/>
          <w:b/>
          <w:bCs/>
          <w:spacing w:val="4"/>
        </w:rPr>
        <w:t>柳州市关于促进高新技术</w:t>
      </w:r>
    </w:p>
    <w:p>
      <w:pPr>
        <w:pStyle w:val="BodyText"/>
        <w:ind w:left="1207"/>
        <w:spacing w:before="44" w:line="221" w:lineRule="auto"/>
        <w:outlineLvl w:val="1"/>
        <w:rPr>
          <w:sz w:val="43"/>
          <w:szCs w:val="43"/>
        </w:rPr>
      </w:pPr>
      <w:r>
        <w:rPr>
          <w:sz w:val="43"/>
          <w:szCs w:val="43"/>
          <w:b/>
          <w:bCs/>
          <w:spacing w:val="4"/>
        </w:rPr>
        <w:t>产业开发区高质量发展的若干措施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2" w:right="95" w:firstLine="636"/>
        <w:spacing w:before="100" w:line="330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根据《国务院关于促进国家高新技术产业开发区高质量发展</w:t>
      </w:r>
      <w:r>
        <w:rPr>
          <w:rFonts w:ascii="FangSong_GB2312" w:hAnsi="FangSong_GB2312" w:eastAsia="FangSong_GB2312" w:cs="FangSong_GB2312"/>
          <w:sz w:val="31"/>
          <w:szCs w:val="31"/>
        </w:rPr>
        <w:t>的若干意见》、《广西壮族自治区关于促进高新技术产业开发区高</w:t>
      </w:r>
      <w:r>
        <w:rPr>
          <w:rFonts w:ascii="FangSong_GB2312" w:hAnsi="FangSong_GB2312" w:eastAsia="FangSong_GB2312" w:cs="FangSong_GB2312"/>
          <w:sz w:val="31"/>
          <w:szCs w:val="31"/>
          <w:spacing w:val="-10"/>
        </w:rPr>
        <w:t>质量发展的若干措施》、《柳州市落实科技强桂三年行动方案（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 xml:space="preserve"> </w:t>
      </w:r>
      <w:r>
        <w:rPr>
          <w:rFonts w:ascii="Arial" w:hAnsi="Arial" w:eastAsia="Arial" w:cs="Arial"/>
          <w:sz w:val="31"/>
          <w:szCs w:val="31"/>
          <w:spacing w:val="11"/>
        </w:rPr>
        <w:t>-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年）的实施方案》等文件精神，为促进在柳各级高新技术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产业开发区（</w:t>
      </w:r>
      <w:r>
        <w:rPr>
          <w:rFonts w:ascii="FangSong_GB2312" w:hAnsi="FangSong_GB2312" w:eastAsia="FangSong_GB2312" w:cs="FangSong_GB2312"/>
          <w:sz w:val="31"/>
          <w:szCs w:val="31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以下简称高新区）高质量发展，充分发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挥高新区示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范引领和辐射带动作用，为柳州市建设面向东盟的区域性国际科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技创新中心和创新型城市，打造现代制造城和广西副中心城市奠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定坚实基础，制定如下发展措施。</w:t>
      </w:r>
    </w:p>
    <w:p>
      <w:pPr>
        <w:ind w:left="648"/>
        <w:spacing w:before="43" w:line="226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一、提高产业自主创新能力</w:t>
      </w:r>
    </w:p>
    <w:p>
      <w:pPr>
        <w:ind w:right="95" w:firstLine="668"/>
        <w:spacing w:before="177" w:line="3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（一）加强关键核心技术攻关。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加大基础研究和应用基础研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究投入，加强关键共性技术、前沿引领技术、现代工程技术、颠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覆性技术联合攻关和产业化应用，推动技术创新、标准化、知识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产权和产业化深度融合。鼓励企业申报国家、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自治区的科技重大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专项和重点研发计划项目，支持高新区内获得国家科技重大专项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和重点研发计划项目的企业开展科研项目的研究开发、成果转移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转化及产品化、产业化。（牵头单位：市科技局；配合单位：市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发展改革委、工业和信息化局、财政局、市场监管局等，各县区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人民政府、新区管委会）</w:t>
      </w:r>
    </w:p>
    <w:p>
      <w:pPr>
        <w:ind w:left="29" w:firstLine="638"/>
        <w:spacing w:before="190" w:line="27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（二）建设高层次创新平台。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支持企业创建国家重点实验室、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国家制造业创新中心、国家技术创新中心、国家工程研究中心、</w:t>
      </w:r>
    </w:p>
    <w:p>
      <w:pPr>
        <w:spacing w:line="277" w:lineRule="auto"/>
        <w:sectPr>
          <w:footerReference w:type="default" r:id="rId3"/>
          <w:pgSz w:w="11906" w:h="16839"/>
          <w:pgMar w:top="1431" w:right="1265" w:bottom="1579" w:left="1541" w:header="0" w:footer="1212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" w:right="26" w:firstLine="27"/>
        <w:spacing w:before="100" w:line="333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国家企业技术中心。支持高新区布局并做大做强做优国家和自治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区级实验室、技术创新中心、工程研究中心、质检中心、新型研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发机构等高层次创新平台，支持技术转移机构、产业技术创新战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略联盟、院士工作站、博士后科研工作站等创新平台建设。对广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西实验室、产业技术研究院等重大产业研发平台适用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一事一议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方式确定支持金额的，从其规定。支持高新区骨干企业联合区内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外高校、科研院所等建设自治区新型研发机构，支持骨干企业普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遍建立企业技术中心、工程研究中心、重点实验室等研发机构，</w:t>
      </w:r>
      <w:r>
        <w:rPr>
          <w:rFonts w:ascii="FangSong_GB2312" w:hAnsi="FangSong_GB2312" w:eastAsia="FangSong_GB2312" w:cs="FangSong_GB2312"/>
          <w:sz w:val="31"/>
          <w:szCs w:val="31"/>
        </w:rPr>
        <w:t>积极承担国家、</w:t>
      </w:r>
      <w:r>
        <w:rPr>
          <w:rFonts w:ascii="FangSong_GB2312" w:hAnsi="FangSong_GB2312" w:eastAsia="FangSong_GB2312" w:cs="FangSong_GB2312"/>
          <w:sz w:val="31"/>
          <w:szCs w:val="31"/>
          <w:spacing w:val="-7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自治区级各类科技项目。（牵头单位：市科技局；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配合单位：各县区人民政府、新区管委会，市发展改革委、教育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局、工业和信息化局、财政局、人力资源社会保障局、市场监管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局等）</w:t>
      </w:r>
    </w:p>
    <w:p>
      <w:pPr>
        <w:ind w:firstLine="667"/>
        <w:spacing w:before="10" w:line="333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（三）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引进培育高层次创新人才。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支持高新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区骨干企业与区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内外高校共建共管现代产业学院（含本科高校现代产业学院</w:t>
      </w:r>
      <w:r>
        <w:rPr>
          <w:rFonts w:ascii="FangSong_GB2312" w:hAnsi="FangSong_GB2312" w:eastAsia="FangSong_GB2312" w:cs="FangSong_GB2312"/>
          <w:sz w:val="31"/>
          <w:szCs w:val="31"/>
          <w:spacing w:val="34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积极搭建外向型引才育才平台，根据相关政策给予适当奖补。高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新区精准制定实施高层次人才和高技术技能人才引育计划，搭建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国际化引才育才平台，组织引进重点领域高端领军人才和高水平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科学研究团队，培育引进各类经营管理人才、专业技术人才和技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能型人才。对高新区内特别优秀、贡献巨大的创新创业人才（团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队</w:t>
      </w:r>
      <w:r>
        <w:rPr>
          <w:rFonts w:ascii="FangSong_GB2312" w:hAnsi="FangSong_GB2312" w:eastAsia="FangSong_GB2312" w:cs="FangSong_GB2312"/>
          <w:sz w:val="31"/>
          <w:szCs w:val="31"/>
          <w:spacing w:val="-10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各县区人民政府、新区管委会及有关部门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在户籍、居住证、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住房保障、医疗服务、子女教育、配偶就业等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方面提供便利条件。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鼓励高新区制定奖励激励政策，在科研经费、基金投资、贷款贴</w:t>
      </w:r>
      <w:r>
        <w:rPr>
          <w:rFonts w:ascii="FangSong_GB2312" w:hAnsi="FangSong_GB2312" w:eastAsia="FangSong_GB2312" w:cs="FangSong_GB2312"/>
          <w:sz w:val="31"/>
          <w:szCs w:val="31"/>
        </w:rPr>
        <w:t>息、人才奖励金等方面对携项目落地的高层次人才进行支持。（牵</w:t>
      </w:r>
    </w:p>
    <w:p>
      <w:pPr>
        <w:spacing w:line="333" w:lineRule="auto"/>
        <w:sectPr>
          <w:footerReference w:type="default" r:id="rId4"/>
          <w:pgSz w:w="11906" w:h="16839"/>
          <w:pgMar w:top="1431" w:right="1265" w:bottom="1622" w:left="1542" w:header="0" w:footer="1258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1" w:right="13" w:firstLine="5"/>
        <w:spacing w:before="101" w:line="332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头单位：各县区人民政府、新区管委会；配合单位：市委组织部，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市教育局、科技局、工业和信息化局、财政局、人力资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源社会保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障局、住房城乡建设局等）</w:t>
      </w:r>
    </w:p>
    <w:p>
      <w:pPr>
        <w:ind w:left="4" w:firstLine="668"/>
        <w:spacing w:before="5" w:line="32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（四）加强成果转移转化。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支持柳州国家高新区、河西柳州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高新区等创建国家、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自治区级科技成果转移转化示范区，建立以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市场为导向，</w:t>
      </w:r>
      <w:r>
        <w:rPr>
          <w:rFonts w:ascii="FangSong_GB2312" w:hAnsi="FangSong_GB2312" w:eastAsia="FangSong_GB2312" w:cs="FangSong_GB2312"/>
          <w:sz w:val="31"/>
          <w:szCs w:val="31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以企业为主体，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政产学研资介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充分参与的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科技成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果转化体系。围绕我市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“5+5”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产业发展中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卡脖子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牵一发而动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全身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的关键核心技术问题，以应用技术研究和开发为核心，在高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新区建设一批科技成果转化中试基地，给予相应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的财政资金支持，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推动创新链与产业链深度融合。加强关键技术领域标准研究，研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究制定轨道交通、新能源汽车、智能网联汽车、高端装备制造和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机器人等领域关键技术标准，推动产业变革。（牵头单位：市科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技局；配合单位：各县区人民政府、新区管委会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，市发展改革委、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工业和信息化局、财政局、市场监管局等）</w:t>
      </w:r>
    </w:p>
    <w:p>
      <w:pPr>
        <w:ind w:right="95" w:firstLine="673"/>
        <w:spacing w:before="187" w:line="3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（五）发展壮大科技企业群。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鼓励各县区人民政府、新区管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委会支持高新区建立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科技型中小企业、专精特新中小企业、高新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技术企业、瞪羚企业、独角兽企业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的科技企业培育体系。探索应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用首购、订购等非招标方式的应用，加大对科技型中小企业重大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创新技术、产品和服务采购力度。对高新区内新办的企业，经认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定为高新技术企业的，或符合享受国家西部大开发企业所得税税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收优惠政策条件的，可按规定享受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75%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研发经费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投入税前加计扣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除国家优惠政策，从事生产制造的企业享受</w:t>
      </w:r>
      <w:r>
        <w:rPr>
          <w:rFonts w:ascii="FangSong_GB2312" w:hAnsi="FangSong_GB2312" w:eastAsia="FangSong_GB2312" w:cs="FangSong_GB2312"/>
          <w:sz w:val="31"/>
          <w:szCs w:val="31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100%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研发经费投入税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前加计扣除国家优惠政策。支持和促进首次进入独角兽企业培育</w:t>
      </w:r>
    </w:p>
    <w:p>
      <w:pPr>
        <w:spacing w:line="321" w:lineRule="auto"/>
        <w:sectPr>
          <w:footerReference w:type="default" r:id="rId5"/>
          <w:pgSz w:w="11906" w:h="16839"/>
          <w:pgMar w:top="1431" w:right="1265" w:bottom="1579" w:left="1536" w:header="0" w:footer="1212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right="97" w:firstLine="2"/>
        <w:spacing w:before="100" w:line="33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库或进入专业机构发布的独角兽企业榜单企业的创新能力提升。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（牵头单位：市科技局；配合单位：各县区人民政府、新区管委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会，市发展改革委、工业和信息化局、财政局，市税务局等）</w:t>
      </w:r>
    </w:p>
    <w:p>
      <w:pPr>
        <w:ind w:left="653"/>
        <w:spacing w:before="4" w:line="226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二、发展壮大高新技术产业</w:t>
      </w:r>
    </w:p>
    <w:p>
      <w:pPr>
        <w:ind w:left="5" w:right="26" w:firstLine="668"/>
        <w:spacing w:before="181" w:line="32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（六）加速产业集聚发展。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鼓励高新区结合区位特点、资源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禀赋、产业基础、环境容量等因素确定主导产业，走特色产业发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展道路。支持高新区建设国家火炬特色产业基地，各级科技计划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立项优先支持高新区特色产业集群创新发展。推进高新区产业延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链补链强链，承上建立产业链链长制，</w:t>
      </w:r>
      <w:r>
        <w:rPr>
          <w:rFonts w:ascii="FangSong_GB2312" w:hAnsi="FangSong_GB2312" w:eastAsia="FangSong_GB2312" w:cs="FangSong_GB2312"/>
          <w:sz w:val="31"/>
          <w:szCs w:val="31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由高新区管理委员会负责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人担任链长，实施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一链一图、一链一制、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一链一策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，培育形成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若干以科技领军企业为龙头、关键核心技术自主可控、大中小企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业融通发展的产业集群。鼓励高新技术企业、总部企业招商引资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项目的企业购置研发试验仪器设备，开展科技研发。（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牵头单位：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市科技局、工业和信息化局、财政局、投资促进局；配合单位：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各县区人民政府、新区管委会，市发展改革委、商务局等）</w:t>
      </w:r>
    </w:p>
    <w:p>
      <w:pPr>
        <w:ind w:firstLine="673"/>
        <w:spacing w:before="195" w:line="3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（七）壮大战略性新兴产业。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支持高新区瞄准新能源及智能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汽车、高端装备制造、新一代信息技术、节能环保、生物医药大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健康等新兴产业，组织实施应用示范工程和项目，主动承接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国家、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自治区重大科技成果转化项目，实现招商引资、招才引智和科技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成果转化齐抓，高价值发明专利培育和运用并举，外延式增长与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内生式增长并进的快速发展模式。支持柳州国家高新区建设协同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创新、配套完善、产业高效集聚的新能源汽车产业集群，继续保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持千亿级园区领先地位，河西柳州高新区加快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先进装备制造产业</w:t>
      </w:r>
    </w:p>
    <w:p>
      <w:pPr>
        <w:spacing w:line="319" w:lineRule="auto"/>
        <w:sectPr>
          <w:footerReference w:type="default" r:id="rId6"/>
          <w:pgSz w:w="11906" w:h="16839"/>
          <w:pgMar w:top="1431" w:right="1265" w:bottom="1622" w:left="1535" w:header="0" w:footer="1258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right="97" w:firstLine="6"/>
        <w:spacing w:before="101" w:line="33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集聚，争创千亿级园区。对世界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40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强企业、中国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强企业、</w:t>
      </w:r>
      <w:r>
        <w:rPr>
          <w:rFonts w:ascii="FangSong_GB2312" w:hAnsi="FangSong_GB2312" w:eastAsia="FangSong_GB2312" w:cs="FangSong_GB2312"/>
          <w:sz w:val="31"/>
          <w:szCs w:val="31"/>
          <w:spacing w:val="23"/>
        </w:rPr>
        <w:t>粤港澳大湾区企业和战略性新兴产业入驻落户高新区的优质项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目，</w:t>
      </w:r>
      <w:r>
        <w:rPr>
          <w:rFonts w:ascii="FangSong_GB2312" w:hAnsi="FangSong_GB2312" w:eastAsia="FangSong_GB2312" w:cs="FangSong_GB2312"/>
          <w:sz w:val="31"/>
          <w:szCs w:val="31"/>
          <w:spacing w:val="-8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以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一事一议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方式给予支持。（牵头单位：市发展改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革委、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工业和信息化局、科技局；配合单位：各县区人民政府、新区管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委会，市大数据发展局、投资促进局、市场监管局等）</w:t>
      </w:r>
    </w:p>
    <w:p>
      <w:pPr>
        <w:ind w:firstLine="666"/>
        <w:spacing w:before="6" w:line="32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（八）加快传统产业转型升级。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支持高新区运用高新技术改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造提升传统产业，支持制造业企业运用新技术、新工艺、新材料、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新模式，加速向智能、绿色、服务型制造转型升级。优先在高新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区实施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双百双新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产业项目、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千企科技创新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和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千企技改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工程，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推动制造业迈向中高端。支持高新区聚焦产业链关键环节和突出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短板，加大制造业招商引资力度，推动一批龙头企业落户高新区，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打造先进制造业集群和高端产业链。优先在高新区实施一批工业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互联网新基建项目，构建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产业＋互联网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融合应用平台，建设一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批工业互联网产业示范基地。推动先进制造业和现代服务业深度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融合，发展一批规上科技服务业企业。（牵头单位：市工业和信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息化局、发展改革委、科技局；配合单位：各县区人民政府、新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区管委会，市投资促进局、商务局等）</w:t>
      </w:r>
    </w:p>
    <w:p>
      <w:pPr>
        <w:ind w:left="3" w:right="97" w:firstLine="662"/>
        <w:spacing w:before="195" w:line="31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（九）优化创新创业生态。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支持大中小企业融通发展，鼓励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大企业建设孵化器向在孵企业开放产品、市场和服务份额。支持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高新区建设一批创新创业要素集聚、具备较高专业化服务水平的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国家级和自治区级双创示范基地。鼓励高校、科研院所等建设科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技企业孵化器、专业化众创空间、大学科技园等创业孵化载体。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对通过国家认定、备案的创业孵化载体和通过自治区认定的科技</w:t>
      </w:r>
    </w:p>
    <w:p>
      <w:pPr>
        <w:spacing w:line="314" w:lineRule="auto"/>
        <w:sectPr>
          <w:footerReference w:type="default" r:id="rId7"/>
          <w:pgSz w:w="11906" w:h="16839"/>
          <w:pgMar w:top="1431" w:right="1265" w:bottom="1579" w:left="1543" w:header="0" w:footer="1214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7" w:right="2" w:firstLine="2"/>
        <w:spacing w:before="101" w:line="333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企业孵化器、大学科技园，给予财政资金补助。高新区应对园区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内双创平台在用地、厂房等方面给予支持。（牵头单位：市发展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改革委、科技局；配合单位：各县区人民政府、新区管委会，市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教育局、财政局、人力资源社会保障局、</w:t>
      </w:r>
      <w:r>
        <w:rPr>
          <w:rFonts w:ascii="FangSong_GB2312" w:hAnsi="FangSong_GB2312" w:eastAsia="FangSong_GB2312" w:cs="FangSong_GB2312"/>
          <w:sz w:val="31"/>
          <w:szCs w:val="31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自然资源和规划局等）</w:t>
      </w:r>
    </w:p>
    <w:p>
      <w:pPr>
        <w:ind w:left="655"/>
        <w:spacing w:before="3" w:line="226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三、推进高新区科学规划建设</w:t>
      </w:r>
    </w:p>
    <w:p>
      <w:pPr>
        <w:ind w:left="9" w:firstLine="665"/>
        <w:spacing w:before="177" w:line="3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（十）布局建设各级高新区。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强化各县区人民政府、新区管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委会创建各级高新区主体责任，支持依托现有园区，选择不同的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管理模式建设各级高新区。对新获批的自治区级高新区择优给予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一定支持。推动自治区级高新区提质增效扩容，对新获批的国家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高新区给予一定支持。指导有建设意向的鹿寨县、柳江区等经开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区积极开展创建工作，形成高新区建设发展梯队。（牵头单位：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市科技局；配合单位：各县区人民政府、新区管委会，市发展改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革委、工业和信息化局、财政局、</w:t>
      </w:r>
      <w:r>
        <w:rPr>
          <w:rFonts w:ascii="FangSong_GB2312" w:hAnsi="FangSong_GB2312" w:eastAsia="FangSong_GB2312" w:cs="FangSong_GB2312"/>
          <w:sz w:val="31"/>
          <w:szCs w:val="31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自然资源和规划局、生态环境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局、市场监管局，市税务局等）</w:t>
      </w:r>
    </w:p>
    <w:p>
      <w:pPr>
        <w:ind w:firstLine="674"/>
        <w:spacing w:before="195" w:line="3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（十一）科学规划建设高新区。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支持以高新区为主体整合或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托管区位相邻、产业互补的各类园区，打造更多集中连片、协同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互补、联合发展的创新共同体。支持各县区人民政府、新区管委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会完善创新共同体的地区收益制度，形成责任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共担、利益共享、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合作共赢的长效机制。完成整合或托管的高新区，应明晰四至范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围，规范管理机构权责，并向自治区科学技术行政部门备案。支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持符合条件的国家高新区按相关规定程序申请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设立综合保税区。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（牵头单位：市科技局；配合单位：各县区人民政府、新区管委</w:t>
      </w:r>
    </w:p>
    <w:p>
      <w:pPr>
        <w:spacing w:line="319" w:lineRule="auto"/>
        <w:sectPr>
          <w:footerReference w:type="default" r:id="rId8"/>
          <w:pgSz w:w="11906" w:h="16839"/>
          <w:pgMar w:top="1431" w:right="1360" w:bottom="1622" w:left="1535" w:header="0" w:footer="1258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2" w:right="97"/>
        <w:spacing w:before="101" w:line="33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会，市发展改革委、工业和信息化局、财政局、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自然资源和规划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局、生态环境局、商务局、统计局，市税务局、柳州海关等）</w:t>
      </w:r>
    </w:p>
    <w:p>
      <w:pPr>
        <w:ind w:left="3" w:right="95" w:firstLine="670"/>
        <w:spacing w:before="12" w:line="32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（十二）优化土地要素资源配置。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依据国土空间规划，有序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推进高新区闲置土地和低效用地再开发利用，盘活存量土地。创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新土地利用模式，对新增工业用地，根据不同行业生命周期、不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同类型工业项目特点及企业实际需求，实行弹性出让、先租后让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和分期供地等灵活的土地供应政策，确保土地资源向用地少、产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出高、前景好的项目倾斜。加强高新区公共配套服务、基础设施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建设等用地保障，鼓励高新区企业按照有关规定利用集体经营性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建设用地、</w:t>
      </w:r>
      <w:r>
        <w:rPr>
          <w:rFonts w:ascii="FangSong_GB2312" w:hAnsi="FangSong_GB2312" w:eastAsia="FangSong_GB2312" w:cs="FangSong_GB2312"/>
          <w:sz w:val="31"/>
          <w:szCs w:val="31"/>
          <w:spacing w:val="-7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自有闲置土地、产业园区配套用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地和存量闲置房屋建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设保障性租赁住房；人口净流入的地区和自治区人民政府确定的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城市中的高新区工业项目，可按照有关规定将配套建设行政办公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及生活服务设施用地比例提高至</w:t>
      </w:r>
      <w:r>
        <w:rPr>
          <w:rFonts w:ascii="FangSong_GB2312" w:hAnsi="FangSong_GB2312" w:eastAsia="FangSong_GB2312" w:cs="FangSong_GB2312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15%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，提高部分主要用于建设宿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舍型保障性租赁住房。（牵头单位：市自然资源和规划局；配合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单位：各县区人民政府、新区管委会，市科技局、住房城乡建设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局等）</w:t>
      </w:r>
    </w:p>
    <w:p>
      <w:pPr>
        <w:ind w:firstLine="673"/>
        <w:spacing w:before="191" w:line="31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（十三）推动产城创新融合发展。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统筹推进高新区建设与城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市基础设施建设和公共服务设施建设有机衔接，实现区域一体化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布局和联动发展。支持高新区按照职住平衡、就近建设、定向供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应的原则，在园区内建设宿舍型、公寓型保障性租赁住房，提高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行政办公及生活服务设施的建筑面积比例至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15%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。完善学校、医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院、文化场馆、全民健身设施等公共服务配套。完善商务、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休闲、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居住等城市功能配套，建设适合各类创新创业人群交际、交流、</w:t>
      </w:r>
    </w:p>
    <w:p>
      <w:pPr>
        <w:spacing w:line="317" w:lineRule="auto"/>
        <w:sectPr>
          <w:footerReference w:type="default" r:id="rId9"/>
          <w:pgSz w:w="11906" w:h="16839"/>
          <w:pgMar w:top="1431" w:right="1265" w:bottom="1579" w:left="1536" w:header="0" w:footer="1214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1" w:right="7" w:firstLine="6"/>
        <w:spacing w:before="101" w:line="332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交往的新型空间。（牵头单位：市发展改革委、</w:t>
      </w:r>
      <w:r>
        <w:rPr>
          <w:rFonts w:ascii="FangSong_GB2312" w:hAnsi="FangSong_GB2312" w:eastAsia="FangSong_GB2312" w:cs="FangSong_GB2312"/>
          <w:sz w:val="31"/>
          <w:szCs w:val="31"/>
          <w:spacing w:val="-7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自然资源和规划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局、住房城乡建设局；配合单位：各县区人民政府、新区管委会，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市教育局、科技局、商务局、文化广电旅游局、卫生健康委等）</w:t>
      </w:r>
    </w:p>
    <w:p>
      <w:pPr>
        <w:ind w:firstLine="672"/>
        <w:spacing w:before="5" w:line="33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（十四）推进绿色可持续发展。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柳州国家高新区开展绿色发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展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十百千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示范工程，积极创建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国家高新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区绿色发展示范园区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。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严格落实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三线一单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生态环境管控要求，加强园区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集中污染治理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设施建设，培育一批绿色技术和节能减排技术领先企业。支持国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家高新区创建国家生态工业示范园区、国家生态文明建设示范区，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促进产业绿色转型升级。鼓励自治区级高新区循环化改造，推进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安全、绿色、智慧园区建设，创建绿色生态园区。（牵头单位：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各县区人民政府、新区管委会，市生态环境局；配合单位：市发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展改革委、科技局、工业和信息化局等）</w:t>
      </w:r>
    </w:p>
    <w:p>
      <w:pPr>
        <w:ind w:left="665"/>
        <w:spacing w:before="6" w:line="226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四、加大创新改革开放力度</w:t>
      </w:r>
    </w:p>
    <w:p>
      <w:pPr>
        <w:ind w:left="4" w:right="7" w:firstLine="667"/>
        <w:spacing w:before="186" w:line="333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（十五）深化管理体制机制改革。</w:t>
      </w:r>
      <w:r>
        <w:rPr>
          <w:rFonts w:ascii="KaiTi" w:hAnsi="KaiTi" w:eastAsia="KaiTi" w:cs="KaiTi"/>
          <w:sz w:val="31"/>
          <w:szCs w:val="31"/>
          <w:spacing w:val="-9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由市、县区党委或人民政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府有关负责人兼任所辖高新区管理机构主要负责人，市、县区的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科学技术行政部门负责人兼任所辖高新区管理机构的领导班子成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员。高新区管理机构是所在地人民政府派出机构的，应坚持精简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高效原则，减少向高新区派驻部门，充分依托所在地人民政府开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展社会管理、公共服务和市场监管。支持高新区采取市场化模式，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将园区建设、招商、运营、管理和服务等事项，通过政府购买服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务、委托外包等方式交由市场承担。支持高新区探索岗位管理制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度改革，建立和完善符合实际的分配激励和考核机制，根据国家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有关政策规定，经报有管理权限的党委、人民政府审核同意，实</w:t>
      </w:r>
    </w:p>
    <w:p>
      <w:pPr>
        <w:spacing w:line="333" w:lineRule="auto"/>
        <w:sectPr>
          <w:footerReference w:type="default" r:id="rId10"/>
          <w:pgSz w:w="11906" w:h="16839"/>
          <w:pgMar w:top="1431" w:right="1271" w:bottom="1622" w:left="1537" w:header="0" w:footer="1258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72" w:right="100" w:hanging="1"/>
        <w:spacing w:before="101" w:line="332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施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多劳多得、优绩优酬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的绩效工资制度。（牵头单位：各县区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人民政府、新区管委会；配合单位：市委组织部、编办，市科技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局、司法局、财政局、人力资源社会保障局、商务局等）</w:t>
      </w:r>
    </w:p>
    <w:p>
      <w:pPr>
        <w:ind w:left="68" w:firstLine="668"/>
        <w:spacing w:before="5" w:line="32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（十六）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“</w:t>
      </w:r>
      <w:r>
        <w:rPr>
          <w:rFonts w:ascii="KaiTi" w:hAnsi="KaiTi" w:eastAsia="KaiTi" w:cs="KaiTi"/>
          <w:sz w:val="31"/>
          <w:szCs w:val="31"/>
          <w:spacing w:val="11"/>
        </w:rPr>
        <w:t>放管服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”</w:t>
      </w:r>
      <w:r>
        <w:rPr>
          <w:rFonts w:ascii="KaiTi" w:hAnsi="KaiTi" w:eastAsia="KaiTi" w:cs="KaiTi"/>
          <w:sz w:val="31"/>
          <w:szCs w:val="31"/>
          <w:spacing w:val="11"/>
        </w:rPr>
        <w:t>优化营商环境。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根据经济功能区定位和发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展实际需要，高新区依法承接相应的自治区级和市级经济管理权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限。各级政府按照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应放尽放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的原则，实行企业投资项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目承诺制、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容缺受理制，提升行政审批效率。落实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广西互联网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+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监管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系统要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求，建设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龙城亲清在线平台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等惠企惠民平台，积极营造良好营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商环境。在高新区复制推广自由贸易试验区、国家自主创新示范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区等相关改革试点经验，加强创新政策先行先试，对标国内一流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标准，打造市场化、法治化、国际化的营商环境。（牵头单位：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市行政审批局、发展改革委、商务局、大数据发展局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；配合单位：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各县区人民政府、新区管委会，市科技局、财政局、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自然资源和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规划局、住房城乡建设局、市场监管局、司法局等）</w:t>
      </w:r>
    </w:p>
    <w:p>
      <w:pPr>
        <w:ind w:firstLine="737"/>
        <w:spacing w:before="187" w:line="3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（十七）创新开展科技金融服务。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积极推动财政支持产业发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展资金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由补转投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，建立产业投资基金，有效撬动社会资本。鼓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励商业银行在高新区设立科技支行，完善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产业基金＋银行信贷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、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风险补偿＋银行信贷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等多种合作新模式。适时支持金融机构在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高新区开展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科创贷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，重点支持科技型中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小企业、高新技术企业、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瞪羚企业等企业创新发展。支持金融机构在高新区开展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知识产权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质押融资、订单贷、人才贷、高新技术企业贷等科技型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企业融资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服务，落实首台（套）重大技术装备保险等相关政策。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鼓励高新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区设立产业引导基金、创业投资基金等，允许园区内符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合条件的</w:t>
      </w:r>
    </w:p>
    <w:p>
      <w:pPr>
        <w:spacing w:line="321" w:lineRule="auto"/>
        <w:sectPr>
          <w:footerReference w:type="default" r:id="rId11"/>
          <w:pgSz w:w="11906" w:h="16839"/>
          <w:pgMar w:top="1431" w:right="1263" w:bottom="1579" w:left="1472" w:header="0" w:footer="1214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right="13" w:firstLine="34"/>
        <w:spacing w:before="101" w:line="315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国有创投企业建立跟投机制。支持符合条件的高新区开发建设主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体上市融资和发行债券，拓展建设资金渠道。适时设立科技创新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服务券，提高科技企业创新能力。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〔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牵头单位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：市财政局（金融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办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）；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配合单位：市发展改革委、科技局、商务局、市场监管局，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各县区人民政府、新区管委会，人民银行柳州市中心支行，柳州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银保监分局等〕</w:t>
      </w:r>
    </w:p>
    <w:p>
      <w:pPr>
        <w:ind w:right="6" w:firstLine="673"/>
        <w:spacing w:before="25" w:line="33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（十八）融入全球创新开放体系。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支持高新区通过建设海外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创新中心、海外创业基地和国际合作产业园等方式，加强与国际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创新产业高地联动发展，深度融入国际产业链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、供应链和价值链。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支持高新区企业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南向、北联、东融、西合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，积极融入共建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一带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一路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大格局，建立海外研发中心、实验基地，参与国际标准和规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则制定，开展海外并购与全球知识产权布局。支持高新区设立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飞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地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经济园区，享受高新区各项优惠政策，吸纳区内外优质科技资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源，加强科技成果转移转化。（牵头单位：市科技局、市场监管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局；配合单位：各县区人民政府、新区管委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会，市发展改革委、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工业和信息化局、生态环境局、商务局等）</w:t>
      </w:r>
    </w:p>
    <w:p>
      <w:pPr>
        <w:ind w:left="656"/>
        <w:spacing w:before="2" w:line="228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五、加强组织保障</w:t>
      </w:r>
    </w:p>
    <w:p>
      <w:pPr>
        <w:ind w:left="7" w:firstLine="666"/>
        <w:spacing w:before="178" w:line="333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（十九）加强组织领导保障。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加强市人民政府对高新区建设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发展的统筹协调，建立高新区与市科技行政部门工作联系机制，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实行重大事项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一事一议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方式，协调解决高新区科技创新、产业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发展、土地利用、财政金融等重大问题。按自治区级高新区设立、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扩区、调区、更名、评价、奖惩、退出等全流程管理要求，各县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区人民政府、新区管委会应切实承担高新区建设主体责任，</w:t>
      </w:r>
      <w:r>
        <w:rPr>
          <w:rFonts w:ascii="FangSong_GB2312" w:hAnsi="FangSong_GB2312" w:eastAsia="FangSong_GB2312" w:cs="FangSong_GB2312"/>
          <w:sz w:val="31"/>
          <w:szCs w:val="31"/>
          <w:spacing w:val="-8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出台</w:t>
      </w:r>
    </w:p>
    <w:p>
      <w:pPr>
        <w:spacing w:line="333" w:lineRule="auto"/>
        <w:sectPr>
          <w:footerReference w:type="default" r:id="rId12"/>
          <w:pgSz w:w="11906" w:h="16839"/>
          <w:pgMar w:top="1431" w:right="1265" w:bottom="1622" w:left="1536" w:header="0" w:footer="1255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3" w:hanging="3"/>
        <w:spacing w:before="133" w:line="309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相关配套政策措施，促进高新区高质量发展。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〔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牵头单位：市科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技局；配合单位：各县区人民政府、新区管委会，市发展改革委、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工业和信息化局、财政局（金融办）、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自然资源和规划局、生态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环境局、市场监管局，市税务局等〕</w:t>
      </w:r>
    </w:p>
    <w:p>
      <w:pPr>
        <w:ind w:left="2" w:right="6" w:firstLine="667"/>
        <w:spacing w:before="14" w:line="32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（二十）加大财政投入力度。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探索高新区财政管理体制改革，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支持赋予高新区一级财政管理权限，建立财政事权与支出责任相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匹配的财政管理体制，完善财政预算和核算机制。鼓励市有关部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门、各县区人民政府、新区管委会结合高新区对本地的财政收入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和土地出让收入贡献，制定完善激励政策，支持高新区加快发展。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对新获批的国家高新区和自治区级高新区，配套支持其在创新资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源配置、资金扶持等方面获得的自治区补助。鼓励市有关部门、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各县区人民政府、新区管委会和金融机构依法合规使用地方政府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专项债券和其他市场化方式进行融资，用于优先支持高新区的重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大基础设施建设。（牵头单位：市财政局、发展改革委，各县区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人民政府、新区管委会；配合单位：市科技局）</w:t>
      </w:r>
    </w:p>
    <w:p>
      <w:pPr>
        <w:ind w:left="1" w:right="95" w:firstLine="508"/>
        <w:spacing w:before="194" w:line="3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（二十一）承上开展评价考核。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承上建立并实施分类评价督导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机制。对新获批的国家级高新技术产业开发区或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进位升级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的高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新技术产业开发区（首次进入全国综合排名前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35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名的国家高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新区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或年度全国综合排名提升</w:t>
      </w:r>
      <w:r>
        <w:rPr>
          <w:rFonts w:ascii="FangSong_GB2312" w:hAnsi="FangSong_GB2312" w:eastAsia="FangSong_GB2312" w:cs="FangSong_GB2312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位以上且排名在前</w:t>
      </w:r>
      <w:r>
        <w:rPr>
          <w:rFonts w:ascii="FangSong_GB2312" w:hAnsi="FangSong_GB2312" w:eastAsia="FangSong_GB2312" w:cs="FangSong_GB2312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60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名的国家高新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区或评价考核连续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年位居全区前</w:t>
      </w:r>
      <w:r>
        <w:rPr>
          <w:rFonts w:ascii="FangSong_GB2312" w:hAnsi="FangSong_GB2312" w:eastAsia="FangSong_GB2312" w:cs="FangSong_GB2312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名的自治区级高新区）予以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一定的科技支持，主要支持园区企业开展关键核心技术攻关、科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技成果转移转化、创新平台建设和高层次创新人才引育等工作。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对年度全国综合排名下降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5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位以上的国家高新区，或评价考核连</w:t>
      </w:r>
    </w:p>
    <w:p>
      <w:pPr>
        <w:spacing w:line="319" w:lineRule="auto"/>
        <w:sectPr>
          <w:footerReference w:type="default" r:id="rId13"/>
          <w:pgSz w:w="11906" w:h="16839"/>
          <w:pgMar w:top="1431" w:right="1265" w:bottom="1579" w:left="1539" w:header="0" w:footer="1212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firstLine="7"/>
        <w:spacing w:before="101" w:line="33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续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年末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位且受到自治区黄牌警告的自治区级高新区，或被自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治区人民政府摘牌警示且进入</w:t>
      </w:r>
      <w:r>
        <w:rPr>
          <w:rFonts w:ascii="FangSong_GB2312" w:hAnsi="FangSong_GB2312" w:eastAsia="FangSong_GB2312" w:cs="FangSong_GB2312"/>
          <w:sz w:val="31"/>
          <w:szCs w:val="31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年整改期的自治区级高新区，市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人民政府责成该高新区管委会制订措施限期整改。（牵头单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位：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市科技局；配合单位：各县区人民政府、新区管委会，市发展改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革委、工业和信息化局、财政局、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自然资源和规划局、生态环境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局、市场监管局，市税务局等）</w:t>
      </w:r>
    </w:p>
    <w:p>
      <w:pPr>
        <w:spacing w:line="335" w:lineRule="auto"/>
        <w:sectPr>
          <w:footerReference w:type="default" r:id="rId14"/>
          <w:pgSz w:w="11906" w:h="16839"/>
          <w:pgMar w:top="1431" w:right="1360" w:bottom="1622" w:left="1546" w:header="0" w:footer="1258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660"/>
        <w:spacing w:before="101" w:line="225" w:lineRule="auto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公开方式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：主动公开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216908</wp:posOffset>
            </wp:positionV>
            <wp:extent cx="5715000" cy="952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50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286"/>
        <w:spacing w:before="91" w:line="368" w:lineRule="exact"/>
        <w:rPr>
          <w:rFonts w:ascii="FangSong_GB2312" w:hAnsi="FangSong_GB2312" w:eastAsia="FangSong_GB2312" w:cs="FangSong_GB2312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322484</wp:posOffset>
            </wp:positionV>
            <wp:extent cx="5715000" cy="952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50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z w:val="28"/>
          <w:szCs w:val="28"/>
          <w:spacing w:val="-2"/>
          <w:position w:val="1"/>
        </w:rPr>
        <w:t>柳州市人民政府办公室</w:t>
      </w:r>
      <w:r>
        <w:rPr>
          <w:rFonts w:ascii="FangSong_GB2312" w:hAnsi="FangSong_GB2312" w:eastAsia="FangSong_GB2312" w:cs="FangSong_GB2312"/>
          <w:sz w:val="28"/>
          <w:szCs w:val="28"/>
          <w:spacing w:val="-2"/>
          <w:position w:val="1"/>
        </w:rPr>
        <w:t xml:space="preserve">                   </w:t>
      </w:r>
      <w:r>
        <w:rPr>
          <w:rFonts w:ascii="Times New Roman" w:hAnsi="Times New Roman" w:eastAsia="Times New Roman" w:cs="Times New Roman"/>
          <w:sz w:val="28"/>
          <w:szCs w:val="28"/>
          <w:spacing w:val="-2"/>
          <w:position w:val="1"/>
        </w:rPr>
        <w:t>2021</w:t>
      </w:r>
      <w:r>
        <w:rPr>
          <w:rFonts w:ascii="FangSong_GB2312" w:hAnsi="FangSong_GB2312" w:eastAsia="FangSong_GB2312" w:cs="FangSong_GB2312"/>
          <w:sz w:val="28"/>
          <w:szCs w:val="28"/>
          <w:spacing w:val="-2"/>
          <w:position w:val="1"/>
        </w:rPr>
        <w:t>年</w:t>
      </w:r>
      <w:r>
        <w:rPr>
          <w:rFonts w:ascii="FangSong_GB2312" w:hAnsi="FangSong_GB2312" w:eastAsia="FangSong_GB2312" w:cs="FangSong_GB2312"/>
          <w:sz w:val="28"/>
          <w:szCs w:val="28"/>
          <w:spacing w:val="-2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2"/>
          <w:position w:val="1"/>
        </w:rPr>
        <w:t>11</w:t>
      </w:r>
      <w:r>
        <w:rPr>
          <w:rFonts w:ascii="Times New Roman" w:hAnsi="Times New Roman" w:eastAsia="Times New Roman" w:cs="Times New Roman"/>
          <w:sz w:val="28"/>
          <w:szCs w:val="28"/>
          <w:spacing w:val="26"/>
          <w:position w:val="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  <w:position w:val="1"/>
        </w:rPr>
        <w:t>月</w:t>
      </w:r>
      <w:r>
        <w:rPr>
          <w:rFonts w:ascii="FangSong_GB2312" w:hAnsi="FangSong_GB2312" w:eastAsia="FangSong_GB2312" w:cs="FangSong_GB2312"/>
          <w:sz w:val="28"/>
          <w:szCs w:val="28"/>
          <w:spacing w:val="-5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2"/>
          <w:position w:val="1"/>
        </w:rPr>
        <w:t>30  </w:t>
      </w:r>
      <w:r>
        <w:rPr>
          <w:rFonts w:ascii="FangSong_GB2312" w:hAnsi="FangSong_GB2312" w:eastAsia="FangSong_GB2312" w:cs="FangSong_GB2312"/>
          <w:sz w:val="28"/>
          <w:szCs w:val="28"/>
          <w:spacing w:val="-2"/>
          <w:position w:val="1"/>
        </w:rPr>
        <w:t>日印发</w:t>
      </w:r>
    </w:p>
    <w:sectPr>
      <w:footerReference w:type="default" r:id="rId15"/>
      <w:pgSz w:w="11906" w:h="16839"/>
      <w:pgMar w:top="1431" w:right="1375" w:bottom="1600" w:left="1531" w:header="0" w:footer="8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72"/>
      <w:spacing w:line="235" w:lineRule="auto"/>
      <w:rPr>
        <w:sz w:val="28"/>
        <w:szCs w:val="28"/>
      </w:rPr>
    </w:pPr>
    <w:r>
      <w:rPr>
        <w:sz w:val="28"/>
        <w:szCs w:val="28"/>
        <w:spacing w:val="-14"/>
      </w:rPr>
      <w:t>-</w:t>
    </w:r>
    <w:r>
      <w:rPr>
        <w:sz w:val="28"/>
        <w:szCs w:val="28"/>
        <w:spacing w:val="33"/>
      </w:rPr>
      <w:t xml:space="preserve"> </w:t>
    </w:r>
    <w:r>
      <w:rPr>
        <w:sz w:val="28"/>
        <w:szCs w:val="28"/>
        <w:spacing w:val="-14"/>
      </w:rPr>
      <w:t>1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14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75"/>
      <w:spacing w:line="233" w:lineRule="auto"/>
      <w:rPr>
        <w:sz w:val="28"/>
        <w:szCs w:val="28"/>
      </w:rPr>
    </w:pPr>
    <w:r>
      <w:rPr>
        <w:sz w:val="28"/>
        <w:szCs w:val="28"/>
        <w:spacing w:val="-11"/>
      </w:rPr>
      <w:t>-</w:t>
    </w:r>
    <w:r>
      <w:rPr>
        <w:sz w:val="28"/>
        <w:szCs w:val="28"/>
        <w:spacing w:val="34"/>
      </w:rPr>
      <w:t xml:space="preserve"> </w:t>
    </w:r>
    <w:r>
      <w:rPr>
        <w:sz w:val="28"/>
        <w:szCs w:val="28"/>
        <w:spacing w:val="-11"/>
      </w:rPr>
      <w:t>10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1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66"/>
      <w:spacing w:line="235" w:lineRule="auto"/>
      <w:rPr>
        <w:sz w:val="28"/>
        <w:szCs w:val="28"/>
      </w:rPr>
    </w:pPr>
    <w:r>
      <w:rPr>
        <w:sz w:val="28"/>
        <w:szCs w:val="28"/>
        <w:spacing w:val="-11"/>
      </w:rPr>
      <w:t>-</w:t>
    </w:r>
    <w:r>
      <w:rPr>
        <w:sz w:val="28"/>
        <w:szCs w:val="28"/>
        <w:spacing w:val="34"/>
      </w:rPr>
      <w:t xml:space="preserve"> </w:t>
    </w:r>
    <w:r>
      <w:rPr>
        <w:sz w:val="28"/>
        <w:szCs w:val="28"/>
        <w:spacing w:val="-11"/>
      </w:rPr>
      <w:t>11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11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08"/>
      <w:spacing w:line="235" w:lineRule="auto"/>
      <w:rPr>
        <w:sz w:val="28"/>
        <w:szCs w:val="28"/>
      </w:rPr>
    </w:pPr>
    <w:r>
      <w:rPr>
        <w:sz w:val="28"/>
        <w:szCs w:val="28"/>
        <w:spacing w:val="-11"/>
      </w:rPr>
      <w:t>-</w:t>
    </w:r>
    <w:r>
      <w:rPr>
        <w:sz w:val="28"/>
        <w:szCs w:val="28"/>
        <w:spacing w:val="34"/>
      </w:rPr>
      <w:t xml:space="preserve"> </w:t>
    </w:r>
    <w:r>
      <w:rPr>
        <w:sz w:val="28"/>
        <w:szCs w:val="28"/>
        <w:spacing w:val="-11"/>
      </w:rPr>
      <w:t>12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11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56"/>
      <w:spacing w:line="233" w:lineRule="auto"/>
      <w:rPr>
        <w:sz w:val="28"/>
        <w:szCs w:val="28"/>
      </w:rPr>
    </w:pPr>
    <w:r>
      <w:rPr>
        <w:sz w:val="28"/>
        <w:szCs w:val="28"/>
        <w:spacing w:val="-11"/>
      </w:rPr>
      <w:t>-</w:t>
    </w:r>
    <w:r>
      <w:rPr>
        <w:sz w:val="28"/>
        <w:szCs w:val="28"/>
        <w:spacing w:val="34"/>
      </w:rPr>
      <w:t xml:space="preserve"> </w:t>
    </w:r>
    <w:r>
      <w:rPr>
        <w:sz w:val="28"/>
        <w:szCs w:val="28"/>
        <w:spacing w:val="-11"/>
      </w:rPr>
      <w:t>13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11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17"/>
      <w:spacing w:before="20" w:after="91" w:line="242" w:lineRule="auto"/>
      <w:rPr>
        <w:sz w:val="28"/>
        <w:szCs w:val="28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4767071</wp:posOffset>
          </wp:positionH>
          <wp:positionV relativeFrom="page">
            <wp:posOffset>9675876</wp:posOffset>
          </wp:positionV>
          <wp:extent cx="1790700" cy="495300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7907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  <w:spacing w:val="-11"/>
      </w:rPr>
      <w:t>-</w:t>
    </w:r>
    <w:r>
      <w:rPr>
        <w:sz w:val="28"/>
        <w:szCs w:val="28"/>
        <w:spacing w:val="34"/>
      </w:rPr>
      <w:t xml:space="preserve"> </w:t>
    </w:r>
    <w:r>
      <w:rPr>
        <w:sz w:val="28"/>
        <w:szCs w:val="28"/>
        <w:spacing w:val="-11"/>
      </w:rPr>
      <w:t>14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11"/>
      </w:rPr>
      <w:t>-</w:t>
    </w:r>
  </w:p>
  <w:p>
    <w:pPr>
      <w:spacing w:line="289" w:lineRule="auto"/>
      <w:rPr>
        <w:rFonts w:ascii="Arial"/>
        <w:sz w:val="21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07"/>
      <w:spacing w:line="235" w:lineRule="auto"/>
      <w:rPr>
        <w:sz w:val="28"/>
        <w:szCs w:val="28"/>
      </w:rPr>
    </w:pPr>
    <w:r>
      <w:rPr>
        <w:sz w:val="28"/>
        <w:szCs w:val="28"/>
        <w:spacing w:val="-8"/>
      </w:rPr>
      <w:t>-</w:t>
    </w:r>
    <w:r>
      <w:rPr>
        <w:sz w:val="28"/>
        <w:szCs w:val="28"/>
        <w:spacing w:val="15"/>
      </w:rPr>
      <w:t xml:space="preserve"> </w:t>
    </w:r>
    <w:r>
      <w:rPr>
        <w:sz w:val="28"/>
        <w:szCs w:val="28"/>
        <w:spacing w:val="-8"/>
      </w:rPr>
      <w:t>2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60"/>
      <w:spacing w:line="233" w:lineRule="auto"/>
      <w:rPr>
        <w:sz w:val="28"/>
        <w:szCs w:val="28"/>
      </w:rPr>
    </w:pPr>
    <w:r>
      <w:rPr>
        <w:sz w:val="28"/>
        <w:szCs w:val="28"/>
        <w:spacing w:val="-9"/>
      </w:rPr>
      <w:t>-</w:t>
    </w:r>
    <w:r>
      <w:rPr>
        <w:sz w:val="28"/>
        <w:szCs w:val="28"/>
        <w:spacing w:val="18"/>
      </w:rPr>
      <w:t xml:space="preserve"> </w:t>
    </w:r>
    <w:r>
      <w:rPr>
        <w:sz w:val="28"/>
        <w:szCs w:val="28"/>
        <w:spacing w:val="-9"/>
      </w:rPr>
      <w:t>3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12"/>
      <w:spacing w:line="235" w:lineRule="auto"/>
      <w:rPr>
        <w:sz w:val="28"/>
        <w:szCs w:val="28"/>
      </w:rPr>
    </w:pPr>
    <w:r>
      <w:rPr>
        <w:sz w:val="28"/>
        <w:szCs w:val="28"/>
        <w:spacing w:val="-6"/>
      </w:rPr>
      <w:t>-</w:t>
    </w:r>
    <w:r>
      <w:rPr>
        <w:sz w:val="28"/>
        <w:szCs w:val="28"/>
        <w:spacing w:val="10"/>
      </w:rPr>
      <w:t xml:space="preserve"> </w:t>
    </w:r>
    <w:r>
      <w:rPr>
        <w:sz w:val="28"/>
        <w:szCs w:val="28"/>
        <w:spacing w:val="-6"/>
      </w:rPr>
      <w:t>4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67"/>
      <w:spacing w:line="233" w:lineRule="auto"/>
      <w:rPr>
        <w:sz w:val="28"/>
        <w:szCs w:val="28"/>
      </w:rPr>
    </w:pPr>
    <w:r>
      <w:rPr>
        <w:sz w:val="28"/>
        <w:szCs w:val="28"/>
        <w:spacing w:val="-9"/>
      </w:rPr>
      <w:t>-</w:t>
    </w:r>
    <w:r>
      <w:rPr>
        <w:sz w:val="28"/>
        <w:szCs w:val="28"/>
        <w:spacing w:val="18"/>
      </w:rPr>
      <w:t xml:space="preserve"> </w:t>
    </w:r>
    <w:r>
      <w:rPr>
        <w:sz w:val="28"/>
        <w:szCs w:val="28"/>
        <w:spacing w:val="-9"/>
      </w:rPr>
      <w:t>5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05"/>
      <w:spacing w:line="233" w:lineRule="auto"/>
      <w:rPr>
        <w:sz w:val="28"/>
        <w:szCs w:val="28"/>
      </w:rPr>
    </w:pPr>
    <w:r>
      <w:rPr>
        <w:sz w:val="28"/>
        <w:szCs w:val="28"/>
        <w:spacing w:val="-7"/>
      </w:rPr>
      <w:t>-</w:t>
    </w:r>
    <w:r>
      <w:rPr>
        <w:sz w:val="28"/>
        <w:szCs w:val="28"/>
        <w:spacing w:val="13"/>
      </w:rPr>
      <w:t xml:space="preserve"> </w:t>
    </w:r>
    <w:r>
      <w:rPr>
        <w:sz w:val="28"/>
        <w:szCs w:val="28"/>
        <w:spacing w:val="-7"/>
      </w:rPr>
      <w:t>6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67"/>
      <w:spacing w:line="233" w:lineRule="auto"/>
      <w:rPr>
        <w:sz w:val="28"/>
        <w:szCs w:val="28"/>
      </w:rPr>
    </w:pPr>
    <w:r>
      <w:rPr>
        <w:sz w:val="28"/>
        <w:szCs w:val="28"/>
        <w:spacing w:val="-9"/>
      </w:rPr>
      <w:t>-</w:t>
    </w:r>
    <w:r>
      <w:rPr>
        <w:sz w:val="28"/>
        <w:szCs w:val="28"/>
        <w:spacing w:val="18"/>
      </w:rPr>
      <w:t xml:space="preserve"> </w:t>
    </w:r>
    <w:r>
      <w:rPr>
        <w:sz w:val="28"/>
        <w:szCs w:val="28"/>
        <w:spacing w:val="-9"/>
      </w:rPr>
      <w:t>7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12"/>
      <w:spacing w:line="233" w:lineRule="auto"/>
      <w:rPr>
        <w:sz w:val="28"/>
        <w:szCs w:val="28"/>
      </w:rPr>
    </w:pPr>
    <w:r>
      <w:rPr>
        <w:sz w:val="28"/>
        <w:szCs w:val="28"/>
        <w:spacing w:val="-7"/>
      </w:rPr>
      <w:t>-</w:t>
    </w:r>
    <w:r>
      <w:rPr>
        <w:sz w:val="28"/>
        <w:szCs w:val="28"/>
        <w:spacing w:val="12"/>
      </w:rPr>
      <w:t xml:space="preserve"> </w:t>
    </w:r>
    <w:r>
      <w:rPr>
        <w:sz w:val="28"/>
        <w:szCs w:val="28"/>
        <w:spacing w:val="-7"/>
      </w:rPr>
      <w:t>8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65"/>
      <w:spacing w:line="233" w:lineRule="auto"/>
      <w:rPr>
        <w:sz w:val="28"/>
        <w:szCs w:val="28"/>
      </w:rPr>
    </w:pPr>
    <w:r>
      <w:rPr>
        <w:sz w:val="28"/>
        <w:szCs w:val="28"/>
        <w:spacing w:val="-7"/>
      </w:rPr>
      <w:t>-</w:t>
    </w:r>
    <w:r>
      <w:rPr>
        <w:sz w:val="28"/>
        <w:szCs w:val="28"/>
        <w:spacing w:val="12"/>
      </w:rPr>
      <w:t xml:space="preserve"> </w:t>
    </w:r>
    <w:r>
      <w:rPr>
        <w:sz w:val="28"/>
        <w:szCs w:val="28"/>
        <w:spacing w:val="-7"/>
      </w:rPr>
      <w:t>9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85"/>
      <w:szCs w:val="8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0" Type="http://schemas.openxmlformats.org/officeDocument/2006/relationships/fontTable" Target="fontTable.xml"/><Relationship Id="rId2" Type="http://schemas.openxmlformats.org/officeDocument/2006/relationships/image" Target="media/image1.jpe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柳州市人民政府2015年刘传林</dc:title>
  <dc:creator>wg01</dc:creator>
  <dcterms:created xsi:type="dcterms:W3CDTF">2021-12-30T09:04:08Z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2025-12-18T16:31:21</vt:filetime>
  </property>
</Properties>
</file>