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20" w:rsidRDefault="001C5620" w:rsidP="001C5620">
      <w:pPr>
        <w:jc w:val="left"/>
        <w:rPr>
          <w:rFonts w:ascii="仿宋_GB2312" w:eastAsia="仿宋_GB2312" w:cs="Times New Roman"/>
          <w:sz w:val="32"/>
          <w:szCs w:val="32"/>
        </w:rPr>
      </w:pPr>
      <w:r>
        <w:rPr>
          <w:rFonts w:ascii="仿宋_GB2312" w:eastAsia="仿宋_GB2312" w:cs="仿宋_GB2312" w:hint="eastAsia"/>
          <w:sz w:val="32"/>
          <w:szCs w:val="32"/>
        </w:rPr>
        <w:t>附件</w:t>
      </w:r>
      <w:r>
        <w:rPr>
          <w:rFonts w:ascii="仿宋_GB2312" w:eastAsia="仿宋_GB2312" w:cs="仿宋_GB2312"/>
          <w:sz w:val="32"/>
          <w:szCs w:val="32"/>
        </w:rPr>
        <w:t>1</w:t>
      </w:r>
      <w:r>
        <w:rPr>
          <w:rFonts w:ascii="仿宋_GB2312" w:eastAsia="仿宋_GB2312" w:cs="仿宋_GB2312" w:hint="eastAsia"/>
          <w:sz w:val="32"/>
          <w:szCs w:val="32"/>
        </w:rPr>
        <w:t>：</w:t>
      </w:r>
      <w:bookmarkStart w:id="0" w:name="_GoBack"/>
      <w:bookmarkEnd w:id="0"/>
    </w:p>
    <w:p w:rsidR="001C5620" w:rsidRDefault="001C5620" w:rsidP="001C5620">
      <w:pPr>
        <w:spacing w:line="520" w:lineRule="exact"/>
        <w:jc w:val="center"/>
        <w:rPr>
          <w:rFonts w:ascii="宋体" w:cs="Times New Roman"/>
          <w:b/>
          <w:bCs/>
          <w:sz w:val="44"/>
          <w:szCs w:val="44"/>
        </w:rPr>
      </w:pPr>
      <w:r w:rsidRPr="00FF7747">
        <w:rPr>
          <w:rFonts w:ascii="宋体" w:hAnsi="宋体" w:hint="eastAsia"/>
          <w:b/>
          <w:sz w:val="44"/>
          <w:szCs w:val="44"/>
        </w:rPr>
        <w:t>柳州市科学技术局（知识产权局）</w:t>
      </w:r>
      <w:r>
        <w:rPr>
          <w:rFonts w:ascii="宋体" w:hAnsi="宋体" w:cs="宋体" w:hint="eastAsia"/>
          <w:b/>
          <w:bCs/>
          <w:sz w:val="44"/>
          <w:szCs w:val="44"/>
        </w:rPr>
        <w:t>权力事项</w:t>
      </w:r>
    </w:p>
    <w:p w:rsidR="001C5620" w:rsidRPr="0054126B" w:rsidRDefault="001C5620" w:rsidP="001C5620">
      <w:pPr>
        <w:spacing w:line="520" w:lineRule="exact"/>
        <w:jc w:val="center"/>
        <w:rPr>
          <w:rFonts w:ascii="宋体" w:cs="Times New Roman"/>
          <w:b/>
          <w:bCs/>
          <w:sz w:val="44"/>
          <w:szCs w:val="44"/>
        </w:rPr>
      </w:pPr>
    </w:p>
    <w:tbl>
      <w:tblPr>
        <w:tblW w:w="14684" w:type="dxa"/>
        <w:jc w:val="center"/>
        <w:tblLayout w:type="fixed"/>
        <w:tblCellMar>
          <w:left w:w="57" w:type="dxa"/>
          <w:right w:w="57" w:type="dxa"/>
        </w:tblCellMar>
        <w:tblLook w:val="00A0" w:firstRow="1" w:lastRow="0" w:firstColumn="1" w:lastColumn="0" w:noHBand="0" w:noVBand="0"/>
      </w:tblPr>
      <w:tblGrid>
        <w:gridCol w:w="766"/>
        <w:gridCol w:w="1276"/>
        <w:gridCol w:w="1276"/>
        <w:gridCol w:w="1276"/>
        <w:gridCol w:w="8505"/>
        <w:gridCol w:w="850"/>
        <w:gridCol w:w="735"/>
      </w:tblGrid>
      <w:tr w:rsidR="001C5620" w:rsidRPr="006B7A00" w:rsidTr="00C129AB">
        <w:trPr>
          <w:trHeight w:val="1046"/>
          <w:tblHeader/>
          <w:jc w:val="center"/>
        </w:trPr>
        <w:tc>
          <w:tcPr>
            <w:tcW w:w="766" w:type="dxa"/>
            <w:tcBorders>
              <w:top w:val="single" w:sz="4" w:space="0" w:color="auto"/>
              <w:left w:val="single" w:sz="4" w:space="0" w:color="auto"/>
              <w:bottom w:val="single" w:sz="4" w:space="0" w:color="auto"/>
              <w:right w:val="single" w:sz="4" w:space="0" w:color="auto"/>
            </w:tcBorders>
            <w:vAlign w:val="center"/>
          </w:tcPr>
          <w:p w:rsidR="001C5620" w:rsidRPr="004D6ECF" w:rsidRDefault="001C5620" w:rsidP="00C129AB">
            <w:pPr>
              <w:widowControl/>
              <w:spacing w:line="340" w:lineRule="exact"/>
              <w:jc w:val="center"/>
              <w:rPr>
                <w:rFonts w:ascii="宋体" w:cs="Times New Roman"/>
                <w:b/>
                <w:bCs/>
                <w:kern w:val="0"/>
                <w:sz w:val="28"/>
                <w:szCs w:val="28"/>
              </w:rPr>
            </w:pPr>
            <w:r w:rsidRPr="004D6ECF">
              <w:rPr>
                <w:rFonts w:ascii="宋体" w:hAnsi="宋体" w:cs="宋体" w:hint="eastAsia"/>
                <w:b/>
                <w:bCs/>
                <w:kern w:val="0"/>
                <w:sz w:val="28"/>
                <w:szCs w:val="28"/>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4D6ECF" w:rsidRDefault="001C5620" w:rsidP="00C129AB">
            <w:pPr>
              <w:widowControl/>
              <w:spacing w:line="340" w:lineRule="exact"/>
              <w:jc w:val="center"/>
              <w:rPr>
                <w:rFonts w:ascii="宋体" w:cs="Times New Roman"/>
                <w:b/>
                <w:bCs/>
                <w:kern w:val="0"/>
                <w:sz w:val="28"/>
                <w:szCs w:val="28"/>
              </w:rPr>
            </w:pPr>
            <w:r w:rsidRPr="004D6ECF">
              <w:rPr>
                <w:rFonts w:ascii="宋体" w:hAnsi="宋体" w:cs="宋体" w:hint="eastAsia"/>
                <w:b/>
                <w:bCs/>
                <w:kern w:val="0"/>
                <w:sz w:val="28"/>
                <w:szCs w:val="28"/>
              </w:rPr>
              <w:t>事项类别</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4D6ECF" w:rsidRDefault="001C5620" w:rsidP="00C129AB">
            <w:pPr>
              <w:widowControl/>
              <w:spacing w:line="340" w:lineRule="exact"/>
              <w:jc w:val="center"/>
              <w:rPr>
                <w:rFonts w:ascii="宋体" w:cs="Times New Roman"/>
                <w:b/>
                <w:bCs/>
                <w:kern w:val="0"/>
                <w:sz w:val="28"/>
                <w:szCs w:val="28"/>
              </w:rPr>
            </w:pPr>
            <w:r w:rsidRPr="004D6ECF">
              <w:rPr>
                <w:rFonts w:ascii="宋体" w:hAnsi="宋体" w:cs="宋体" w:hint="eastAsia"/>
                <w:b/>
                <w:bCs/>
                <w:kern w:val="0"/>
                <w:sz w:val="28"/>
                <w:szCs w:val="28"/>
              </w:rPr>
              <w:t>事项名称</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4D6ECF" w:rsidRDefault="001C5620" w:rsidP="00C129AB">
            <w:pPr>
              <w:widowControl/>
              <w:spacing w:line="340" w:lineRule="exact"/>
              <w:jc w:val="center"/>
              <w:rPr>
                <w:rFonts w:ascii="宋体" w:cs="Times New Roman"/>
                <w:b/>
                <w:bCs/>
                <w:kern w:val="0"/>
                <w:sz w:val="28"/>
                <w:szCs w:val="28"/>
              </w:rPr>
            </w:pPr>
            <w:r w:rsidRPr="004D6ECF">
              <w:rPr>
                <w:rFonts w:ascii="宋体" w:hAnsi="宋体" w:cs="宋体" w:hint="eastAsia"/>
                <w:b/>
                <w:bCs/>
                <w:kern w:val="0"/>
                <w:sz w:val="28"/>
                <w:szCs w:val="28"/>
              </w:rPr>
              <w:t>子项名称</w:t>
            </w:r>
          </w:p>
        </w:tc>
        <w:tc>
          <w:tcPr>
            <w:tcW w:w="8505" w:type="dxa"/>
            <w:tcBorders>
              <w:top w:val="single" w:sz="4" w:space="0" w:color="auto"/>
              <w:left w:val="single" w:sz="4" w:space="0" w:color="auto"/>
              <w:bottom w:val="single" w:sz="4" w:space="0" w:color="auto"/>
              <w:right w:val="single" w:sz="4" w:space="0" w:color="auto"/>
            </w:tcBorders>
            <w:vAlign w:val="center"/>
          </w:tcPr>
          <w:p w:rsidR="001C5620" w:rsidRPr="004D6ECF" w:rsidRDefault="001C5620" w:rsidP="00C129AB">
            <w:pPr>
              <w:widowControl/>
              <w:spacing w:line="340" w:lineRule="exact"/>
              <w:jc w:val="center"/>
              <w:rPr>
                <w:rFonts w:ascii="宋体" w:cs="Times New Roman"/>
                <w:b/>
                <w:bCs/>
                <w:kern w:val="0"/>
                <w:sz w:val="28"/>
                <w:szCs w:val="28"/>
              </w:rPr>
            </w:pPr>
            <w:r w:rsidRPr="004D6ECF">
              <w:rPr>
                <w:rFonts w:ascii="宋体" w:hAnsi="宋体" w:cs="宋体" w:hint="eastAsia"/>
                <w:b/>
                <w:bCs/>
                <w:kern w:val="0"/>
                <w:sz w:val="28"/>
                <w:szCs w:val="28"/>
              </w:rPr>
              <w:t>实施依据</w:t>
            </w:r>
          </w:p>
        </w:tc>
        <w:tc>
          <w:tcPr>
            <w:tcW w:w="850" w:type="dxa"/>
            <w:tcBorders>
              <w:top w:val="single" w:sz="4" w:space="0" w:color="auto"/>
              <w:left w:val="single" w:sz="4" w:space="0" w:color="auto"/>
              <w:bottom w:val="single" w:sz="4" w:space="0" w:color="auto"/>
              <w:right w:val="single" w:sz="4" w:space="0" w:color="auto"/>
            </w:tcBorders>
            <w:vAlign w:val="center"/>
          </w:tcPr>
          <w:p w:rsidR="001C5620" w:rsidRPr="004D6ECF" w:rsidRDefault="001C5620" w:rsidP="00C129AB">
            <w:pPr>
              <w:widowControl/>
              <w:spacing w:line="340" w:lineRule="exact"/>
              <w:jc w:val="center"/>
              <w:rPr>
                <w:rFonts w:ascii="宋体" w:cs="Times New Roman"/>
                <w:b/>
                <w:bCs/>
                <w:kern w:val="0"/>
                <w:sz w:val="28"/>
                <w:szCs w:val="28"/>
              </w:rPr>
            </w:pPr>
            <w:r w:rsidRPr="004D6ECF">
              <w:rPr>
                <w:rFonts w:ascii="宋体" w:hAnsi="宋体" w:cs="宋体" w:hint="eastAsia"/>
                <w:b/>
                <w:bCs/>
                <w:kern w:val="0"/>
                <w:sz w:val="28"/>
                <w:szCs w:val="28"/>
              </w:rPr>
              <w:t>承办机构</w:t>
            </w:r>
          </w:p>
        </w:tc>
        <w:tc>
          <w:tcPr>
            <w:tcW w:w="735" w:type="dxa"/>
            <w:tcBorders>
              <w:top w:val="single" w:sz="4" w:space="0" w:color="auto"/>
              <w:left w:val="single" w:sz="4" w:space="0" w:color="auto"/>
              <w:bottom w:val="single" w:sz="4" w:space="0" w:color="auto"/>
              <w:right w:val="single" w:sz="4" w:space="0" w:color="auto"/>
            </w:tcBorders>
            <w:vAlign w:val="center"/>
          </w:tcPr>
          <w:p w:rsidR="001C5620" w:rsidRPr="004D6ECF" w:rsidRDefault="001C5620" w:rsidP="00C129AB">
            <w:pPr>
              <w:widowControl/>
              <w:spacing w:line="340" w:lineRule="exact"/>
              <w:jc w:val="center"/>
              <w:rPr>
                <w:rFonts w:ascii="宋体" w:cs="Times New Roman"/>
                <w:b/>
                <w:bCs/>
                <w:kern w:val="0"/>
                <w:sz w:val="28"/>
                <w:szCs w:val="28"/>
              </w:rPr>
            </w:pPr>
            <w:r w:rsidRPr="004D6ECF">
              <w:rPr>
                <w:rFonts w:ascii="宋体" w:hAnsi="宋体" w:cs="宋体" w:hint="eastAsia"/>
                <w:b/>
                <w:bCs/>
                <w:kern w:val="0"/>
                <w:sz w:val="28"/>
                <w:szCs w:val="28"/>
              </w:rPr>
              <w:t>备注</w:t>
            </w:r>
          </w:p>
        </w:tc>
      </w:tr>
      <w:tr w:rsidR="001C5620" w:rsidRPr="006B7A00" w:rsidTr="00C129AB">
        <w:trPr>
          <w:trHeight w:val="454"/>
          <w:jc w:val="center"/>
        </w:trPr>
        <w:tc>
          <w:tcPr>
            <w:tcW w:w="766" w:type="dxa"/>
            <w:tcBorders>
              <w:top w:val="nil"/>
              <w:left w:val="single" w:sz="4" w:space="0" w:color="auto"/>
              <w:bottom w:val="single" w:sz="4" w:space="0" w:color="auto"/>
              <w:right w:val="single" w:sz="4" w:space="0" w:color="auto"/>
            </w:tcBorders>
            <w:vAlign w:val="center"/>
          </w:tcPr>
          <w:p w:rsidR="001C5620" w:rsidRDefault="001C5620" w:rsidP="00C129AB">
            <w:pPr>
              <w:widowControl/>
              <w:spacing w:line="240" w:lineRule="exact"/>
              <w:jc w:val="center"/>
              <w:rPr>
                <w:rFonts w:ascii="黑体" w:eastAsia="黑体" w:hAnsi="宋体" w:cs="Times New Roman"/>
                <w:kern w:val="0"/>
                <w:sz w:val="24"/>
                <w:szCs w:val="24"/>
              </w:rPr>
            </w:pPr>
            <w:proofErr w:type="gramStart"/>
            <w:r>
              <w:rPr>
                <w:rFonts w:ascii="黑体" w:eastAsia="黑体" w:hAnsi="宋体" w:cs="黑体" w:hint="eastAsia"/>
                <w:kern w:val="0"/>
                <w:sz w:val="24"/>
                <w:szCs w:val="24"/>
              </w:rPr>
              <w:t>一</w:t>
            </w:r>
            <w:proofErr w:type="gramEnd"/>
          </w:p>
        </w:tc>
        <w:tc>
          <w:tcPr>
            <w:tcW w:w="1276" w:type="dxa"/>
            <w:tcBorders>
              <w:top w:val="nil"/>
              <w:left w:val="nil"/>
              <w:bottom w:val="single" w:sz="4" w:space="0" w:color="auto"/>
              <w:right w:val="single" w:sz="4" w:space="0" w:color="auto"/>
            </w:tcBorders>
            <w:vAlign w:val="center"/>
          </w:tcPr>
          <w:p w:rsidR="001C5620" w:rsidRDefault="001C5620" w:rsidP="00C129AB">
            <w:pPr>
              <w:widowControl/>
              <w:spacing w:line="240" w:lineRule="exact"/>
              <w:jc w:val="center"/>
              <w:rPr>
                <w:rFonts w:ascii="黑体" w:eastAsia="黑体" w:hAnsi="宋体" w:cs="Times New Roman"/>
                <w:kern w:val="0"/>
                <w:sz w:val="24"/>
                <w:szCs w:val="24"/>
              </w:rPr>
            </w:pPr>
            <w:r>
              <w:rPr>
                <w:rFonts w:ascii="黑体" w:eastAsia="黑体" w:hAnsi="宋体" w:cs="黑体" w:hint="eastAsia"/>
                <w:kern w:val="0"/>
                <w:sz w:val="24"/>
                <w:szCs w:val="24"/>
              </w:rPr>
              <w:t>行政处罚</w:t>
            </w:r>
          </w:p>
        </w:tc>
        <w:tc>
          <w:tcPr>
            <w:tcW w:w="1276" w:type="dxa"/>
            <w:tcBorders>
              <w:top w:val="nil"/>
              <w:left w:val="nil"/>
              <w:bottom w:val="single" w:sz="4" w:space="0" w:color="auto"/>
              <w:right w:val="single" w:sz="4" w:space="0" w:color="auto"/>
            </w:tcBorders>
            <w:vAlign w:val="center"/>
          </w:tcPr>
          <w:p w:rsidR="001C5620" w:rsidRDefault="001C5620" w:rsidP="00C129AB">
            <w:pPr>
              <w:widowControl/>
              <w:spacing w:line="240" w:lineRule="exact"/>
              <w:jc w:val="center"/>
              <w:rPr>
                <w:rFonts w:ascii="黑体" w:eastAsia="黑体" w:hAnsi="宋体" w:cs="Times New Roman"/>
                <w:kern w:val="0"/>
                <w:sz w:val="24"/>
                <w:szCs w:val="24"/>
              </w:rPr>
            </w:pPr>
            <w:r>
              <w:rPr>
                <w:rFonts w:ascii="黑体" w:eastAsia="黑体" w:hAnsi="宋体" w:cs="黑体" w:hint="eastAsia"/>
                <w:kern w:val="0"/>
                <w:sz w:val="24"/>
                <w:szCs w:val="24"/>
              </w:rPr>
              <w:t>共2项</w:t>
            </w:r>
          </w:p>
        </w:tc>
        <w:tc>
          <w:tcPr>
            <w:tcW w:w="1276"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sidRPr="006B7A00">
              <w:rPr>
                <w:rFonts w:ascii="宋体" w:hAnsi="宋体" w:cs="宋体" w:hint="eastAsia"/>
                <w:kern w:val="0"/>
                <w:sz w:val="20"/>
                <w:szCs w:val="20"/>
              </w:rPr>
              <w:t xml:space="preserve">　</w:t>
            </w:r>
          </w:p>
        </w:tc>
        <w:tc>
          <w:tcPr>
            <w:tcW w:w="8505"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c>
          <w:tcPr>
            <w:tcW w:w="850"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c>
          <w:tcPr>
            <w:tcW w:w="735"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r>
      <w:tr w:rsidR="001C5620" w:rsidRPr="006B7A00" w:rsidTr="00C129AB">
        <w:trPr>
          <w:trHeight w:val="506"/>
          <w:jc w:val="center"/>
        </w:trPr>
        <w:tc>
          <w:tcPr>
            <w:tcW w:w="766" w:type="dxa"/>
            <w:tcBorders>
              <w:top w:val="nil"/>
              <w:left w:val="single" w:sz="4" w:space="0" w:color="auto"/>
              <w:bottom w:val="single" w:sz="4" w:space="0" w:color="auto"/>
              <w:right w:val="single" w:sz="4" w:space="0" w:color="auto"/>
            </w:tcBorders>
            <w:vAlign w:val="center"/>
          </w:tcPr>
          <w:p w:rsidR="001C5620" w:rsidRPr="00970554" w:rsidRDefault="001C5620" w:rsidP="00C129AB">
            <w:pPr>
              <w:widowControl/>
              <w:spacing w:line="240" w:lineRule="exact"/>
              <w:rPr>
                <w:rFonts w:ascii="宋体" w:cs="Times New Roman"/>
                <w:kern w:val="0"/>
                <w:sz w:val="20"/>
                <w:szCs w:val="20"/>
              </w:rPr>
            </w:pPr>
            <w:r w:rsidRPr="00970554">
              <w:rPr>
                <w:rFonts w:ascii="宋体" w:cs="Times New Roman" w:hint="eastAsia"/>
                <w:kern w:val="0"/>
                <w:sz w:val="20"/>
                <w:szCs w:val="20"/>
              </w:rPr>
              <w:t>1</w:t>
            </w:r>
          </w:p>
        </w:tc>
        <w:tc>
          <w:tcPr>
            <w:tcW w:w="1276" w:type="dxa"/>
            <w:tcBorders>
              <w:top w:val="nil"/>
              <w:left w:val="nil"/>
              <w:bottom w:val="single" w:sz="4" w:space="0" w:color="auto"/>
              <w:right w:val="single" w:sz="4" w:space="0" w:color="auto"/>
            </w:tcBorders>
            <w:vAlign w:val="center"/>
          </w:tcPr>
          <w:p w:rsidR="001C5620" w:rsidRPr="00970554" w:rsidRDefault="001C5620" w:rsidP="00C129AB">
            <w:pPr>
              <w:widowControl/>
              <w:spacing w:line="240" w:lineRule="exact"/>
              <w:rPr>
                <w:rFonts w:ascii="宋体" w:cs="Times New Roman"/>
                <w:kern w:val="0"/>
                <w:sz w:val="20"/>
                <w:szCs w:val="20"/>
              </w:rPr>
            </w:pPr>
            <w:r w:rsidRPr="00970554">
              <w:rPr>
                <w:rFonts w:ascii="宋体" w:cs="Times New Roman" w:hint="eastAsia"/>
                <w:kern w:val="0"/>
                <w:sz w:val="20"/>
                <w:szCs w:val="20"/>
              </w:rPr>
              <w:t>行政处罚</w:t>
            </w:r>
          </w:p>
        </w:tc>
        <w:tc>
          <w:tcPr>
            <w:tcW w:w="1276" w:type="dxa"/>
            <w:tcBorders>
              <w:top w:val="nil"/>
              <w:left w:val="nil"/>
              <w:bottom w:val="single" w:sz="4" w:space="0" w:color="auto"/>
              <w:right w:val="single" w:sz="4" w:space="0" w:color="auto"/>
            </w:tcBorders>
            <w:vAlign w:val="center"/>
          </w:tcPr>
          <w:p w:rsidR="001C5620" w:rsidRPr="00970554" w:rsidRDefault="001C5620" w:rsidP="00C129AB">
            <w:pPr>
              <w:widowControl/>
              <w:spacing w:line="240" w:lineRule="exact"/>
              <w:rPr>
                <w:rFonts w:ascii="宋体" w:cs="Times New Roman"/>
                <w:kern w:val="0"/>
                <w:sz w:val="20"/>
                <w:szCs w:val="20"/>
              </w:rPr>
            </w:pPr>
            <w:r w:rsidRPr="00970554">
              <w:rPr>
                <w:rFonts w:ascii="宋体" w:cs="Times New Roman" w:hint="eastAsia"/>
                <w:kern w:val="0"/>
                <w:sz w:val="20"/>
                <w:szCs w:val="20"/>
              </w:rPr>
              <w:t>对专利代理违法行为的处罚</w:t>
            </w:r>
          </w:p>
        </w:tc>
        <w:tc>
          <w:tcPr>
            <w:tcW w:w="1276"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c>
          <w:tcPr>
            <w:tcW w:w="8505"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sidRPr="00966058">
              <w:rPr>
                <w:rFonts w:ascii="宋体" w:cs="Times New Roman" w:hint="eastAsia"/>
                <w:kern w:val="0"/>
                <w:sz w:val="20"/>
                <w:szCs w:val="20"/>
              </w:rPr>
              <w:t>【行政法规】《中华人民共和国专利法实施细则》（2001年6月15日中华人民共和国国务院令第306号公布，根据2010年1月9日《国务院关于修改〈中华人民共和国专利法实施细则〉的决定》第二次修订，自2010年2月1日起施行）第七十九条：专利法和本细则所称管理专利工作的部门，是指由省、自治区、直辖市人民政府以及专利管理工作量大又有实际处理能力的设区的市人民政府设立的管理专利工作的部门。【部门规章】《专利代理惩戒规则（试行）》（2002年12月12日国家</w:t>
            </w:r>
            <w:proofErr w:type="gramStart"/>
            <w:r w:rsidRPr="00966058">
              <w:rPr>
                <w:rFonts w:ascii="宋体" w:cs="Times New Roman" w:hint="eastAsia"/>
                <w:kern w:val="0"/>
                <w:sz w:val="20"/>
                <w:szCs w:val="20"/>
              </w:rPr>
              <w:t>知识产权局令第25号</w:t>
            </w:r>
            <w:proofErr w:type="gramEnd"/>
            <w:r w:rsidRPr="00966058">
              <w:rPr>
                <w:rFonts w:ascii="宋体" w:cs="Times New Roman" w:hint="eastAsia"/>
                <w:kern w:val="0"/>
                <w:sz w:val="20"/>
                <w:szCs w:val="20"/>
              </w:rPr>
              <w:t>公布，自2003年1月1日起施行）第三条规定：专利代理机构或者专利代理人违反有关法律、法规和规章规定的，由专利行政部门按照本规则给予惩戒。国家知识产权局和各省、自治区、直辖市知识产权局分别设立专利代理惩戒委员会，具体实施本规则。第四条　对专利代理机构的惩戒分为：（一）警告；（二）通报批评；（三）停止承接新代理业务3至6个月；（四）撤销专利代理机构。第五条　对专利代理人的惩戒分为：（一）警告；（二）通报批评；（三）收回专利代理人执业证书；（四）吊销专利代理人资格。</w:t>
            </w:r>
          </w:p>
        </w:tc>
        <w:tc>
          <w:tcPr>
            <w:tcW w:w="850"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sidRPr="00966058">
              <w:rPr>
                <w:rFonts w:ascii="宋体" w:cs="Times New Roman" w:hint="eastAsia"/>
                <w:kern w:val="0"/>
                <w:sz w:val="20"/>
                <w:szCs w:val="20"/>
              </w:rPr>
              <w:t>知识产权科</w:t>
            </w:r>
          </w:p>
        </w:tc>
        <w:tc>
          <w:tcPr>
            <w:tcW w:w="735"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r>
      <w:tr w:rsidR="001C5620" w:rsidRPr="006B7A00" w:rsidTr="00C129AB">
        <w:trPr>
          <w:trHeight w:val="506"/>
          <w:jc w:val="center"/>
        </w:trPr>
        <w:tc>
          <w:tcPr>
            <w:tcW w:w="766" w:type="dxa"/>
            <w:vMerge w:val="restart"/>
            <w:tcBorders>
              <w:top w:val="nil"/>
              <w:left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Pr>
                <w:rFonts w:ascii="宋体" w:cs="Times New Roman" w:hint="eastAsia"/>
                <w:kern w:val="0"/>
                <w:sz w:val="20"/>
                <w:szCs w:val="20"/>
              </w:rPr>
              <w:t>2</w:t>
            </w:r>
          </w:p>
        </w:tc>
        <w:tc>
          <w:tcPr>
            <w:tcW w:w="1276" w:type="dxa"/>
            <w:vMerge w:val="restart"/>
            <w:tcBorders>
              <w:top w:val="nil"/>
              <w:left w:val="nil"/>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sidRPr="00970554">
              <w:rPr>
                <w:rFonts w:ascii="宋体" w:cs="Times New Roman" w:hint="eastAsia"/>
                <w:kern w:val="0"/>
                <w:sz w:val="20"/>
                <w:szCs w:val="20"/>
              </w:rPr>
              <w:t>行政处罚</w:t>
            </w:r>
          </w:p>
        </w:tc>
        <w:tc>
          <w:tcPr>
            <w:tcW w:w="1276" w:type="dxa"/>
            <w:vMerge w:val="restart"/>
            <w:tcBorders>
              <w:top w:val="nil"/>
              <w:left w:val="nil"/>
              <w:right w:val="single" w:sz="4" w:space="0" w:color="auto"/>
            </w:tcBorders>
            <w:vAlign w:val="center"/>
          </w:tcPr>
          <w:p w:rsidR="001C5620" w:rsidRPr="00970554" w:rsidRDefault="001C5620" w:rsidP="00C129AB">
            <w:pPr>
              <w:widowControl/>
              <w:spacing w:line="240" w:lineRule="exact"/>
              <w:rPr>
                <w:rFonts w:ascii="宋体" w:cs="Times New Roman"/>
                <w:kern w:val="0"/>
                <w:sz w:val="20"/>
                <w:szCs w:val="20"/>
              </w:rPr>
            </w:pPr>
            <w:r w:rsidRPr="00970554">
              <w:rPr>
                <w:rFonts w:ascii="宋体" w:cs="Times New Roman" w:hint="eastAsia"/>
                <w:kern w:val="0"/>
                <w:sz w:val="20"/>
                <w:szCs w:val="20"/>
              </w:rPr>
              <w:t>对专利违法行为的处罚</w:t>
            </w:r>
          </w:p>
        </w:tc>
        <w:tc>
          <w:tcPr>
            <w:tcW w:w="1276"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sidRPr="00966058">
              <w:rPr>
                <w:rFonts w:ascii="宋体" w:cs="Times New Roman" w:hint="eastAsia"/>
                <w:kern w:val="0"/>
                <w:sz w:val="20"/>
                <w:szCs w:val="20"/>
              </w:rPr>
              <w:t>1.对假冒专利行为的处罚</w:t>
            </w:r>
          </w:p>
        </w:tc>
        <w:tc>
          <w:tcPr>
            <w:tcW w:w="8505"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sidRPr="00966058">
              <w:rPr>
                <w:rFonts w:ascii="宋体" w:cs="Times New Roman" w:hint="eastAsia"/>
                <w:kern w:val="0"/>
                <w:sz w:val="20"/>
                <w:szCs w:val="20"/>
              </w:rPr>
              <w:t>【法律】《中华人民共和国专利法》（2008年12月27日中华人民共和国主席令第八号公布，自2009年10月1日起施行）第六十三条：假冒专利的，除依法承担民事责任外，由管理专利工作的部门责令改正并予公告，没收违法所得，可以并处违法所得四倍以下的罚款；没有违法所得的，可以处二十万元以下的罚款；构成犯罪的，依法追究刑事责任。    【行政法规】《中华人民共和国专利法实施细则》（2001年6月15日中华人民共和国国务院令第306号公布，根据2010年1月9日《国务院关于修改〈中华人民共和国专利法实施细则〉的决定》第二次修订，自2010年2月1日起施行）第七十九条：专利法和本细则所称管理专利工作的部门，是指由省、自治区、直辖市人民政府以及专利管理工作量大又有实际处理能力的设区的市人民政府设立的管理专利工作的部门。话，对生产、流通环节的专利产品开展经常性检查和专项检查；及时处理专利侵权纠纷和查处假冒专利行为。　第三十二条：违反本条例第十八条规定，假冒专利的，除依法承担民事责任外，由专利管理部门依照下列规定处罚：（一）在未被授予专利权的产品或者其包装上</w:t>
            </w:r>
            <w:r w:rsidRPr="00966058">
              <w:rPr>
                <w:rFonts w:ascii="宋体" w:cs="Times New Roman" w:hint="eastAsia"/>
                <w:kern w:val="0"/>
                <w:sz w:val="20"/>
                <w:szCs w:val="20"/>
              </w:rPr>
              <w:lastRenderedPageBreak/>
              <w:t>标注专利标识，专利权被宣告无效后或者终止后继续在产品或者其包装上标注专利标识，或者未经许可在产品或者产品包装上标注他人的专利号的，责令行为人立即停止标注行为，消除尚未售出的产品或者其包装上的专利标识，专利标识难以消除的，销毁该产品或者包装，有违法所得的，没收违法所得，可以并处违法所得四倍以下的罚款；没有违法所得的，可以处十万元以下的罚款，情节严重的，可以处十万元以上二十万元以下的罚款；（二）销售第（一）项所述产品的，责令行为人立即停止销售行为，有违法所得的，没收违法所得，可以并处违法所得四倍以下的罚款；没有违法所得的，可以处十万元以下的罚款，情节严重的，可以处十万元以上二十万元以下的罚款；（三）在产品说明书等材料中将未被授予专利权的技术或者设计称为专利技术或者专利设计，将专利申请称为专利，或者未经许可使用他人的专利号，使公众将所涉及的技术或者设计误认为是专利技术或者专利设计的，责令行为人立即停止发放该材料，销毁尚未发出的材料，并消除影响，可以处五万元以下的罚款；（四）伪造或者变造专利证书、专利文件或者专利申请文件的，责令行为人立即停止伪造或者变造行为，销毁其伪造或者变造的专利证书、专利文件或者专利申请文件，并消除影响，可以处五万元以下的罚款。     【地方性法规】《广西壮族自治区专利条例》（2012年7月26日广西壮族自治区第十一届人民代表大会常务委员会第二十九次会议修订通过公布，自2012年9月1日起施行）第十九条：专利管理部门以及县级以上人民政府有关部门应当加强专利保护工作，建立专利行政执法责任制，设立举报投诉电话，对生产、流通环节的专利产品开展经常性检查和专项检查；及时处理专利侵权纠纷和查处假冒专利行为。　第三十二条：违反本条例第十八条规定，假冒专利的，除依法承担民事责任外，由专利管理部门依照下列规定处罚：（一）在未被授予专利权的产品或者其包装上标注专利标识，专利权被宣告无效后或者终止后继续在产品或者其包装上标注专利标识，或者未经许可在产品或者产品包装上标注他人的专利号的，责令行为人立即停止标注行为，消除尚未售出的产品或者其包装上的专利标识，专利标识难以消除的，销毁该产品或者包装，有违法所得的，没收违法所得，可以并处违法所得四倍以下的罚款；没有违法所得的，可以处十万元以下的罚款，情节严重的，可以处十万元以上二十万元以下的罚款；（二）销售第（一）项所述产品的，责令行为人立即停止销售行为，有违法所得的，没收违法所得，可以并处违法所得四倍以下的罚款；没有违法所得的，可以处十万元以下的罚款，情节严重的，可以处十万元以上二十万元以下的罚款；（三）在产品说明书等材料中将未被授予专利权的技术或者设计称为专利技术或者专利设计，将专利申请称为专利，或者未经许可使用他人的专利号，使公众将所涉及的技术或者设计误认为是专利技术或者专利设计的，责令行为人立即停止发放该材料，销毁尚未发出的材料，并消除影响，可以处五万元以下的罚款；（四）伪造或者变造专利证书、专利文件或者专利申请文件的，责令行为人立即停止伪造或者变</w:t>
            </w:r>
            <w:r w:rsidRPr="00966058">
              <w:rPr>
                <w:rFonts w:ascii="宋体" w:cs="Times New Roman" w:hint="eastAsia"/>
                <w:kern w:val="0"/>
                <w:sz w:val="20"/>
                <w:szCs w:val="20"/>
              </w:rPr>
              <w:lastRenderedPageBreak/>
              <w:t>造行为，销毁其伪造或者变造的专利证书、专利文件或者专利申请文件，并消除影响，可以处五万元以下的罚款。</w:t>
            </w:r>
          </w:p>
        </w:tc>
        <w:tc>
          <w:tcPr>
            <w:tcW w:w="850"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sidRPr="00966058">
              <w:rPr>
                <w:rFonts w:ascii="宋体" w:cs="Times New Roman" w:hint="eastAsia"/>
                <w:kern w:val="0"/>
                <w:sz w:val="20"/>
                <w:szCs w:val="20"/>
              </w:rPr>
              <w:lastRenderedPageBreak/>
              <w:t>知识产权科</w:t>
            </w:r>
          </w:p>
        </w:tc>
        <w:tc>
          <w:tcPr>
            <w:tcW w:w="735"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r>
      <w:tr w:rsidR="001C5620" w:rsidRPr="006B7A00" w:rsidTr="00C129AB">
        <w:trPr>
          <w:trHeight w:val="506"/>
          <w:jc w:val="center"/>
        </w:trPr>
        <w:tc>
          <w:tcPr>
            <w:tcW w:w="766" w:type="dxa"/>
            <w:vMerge/>
            <w:tcBorders>
              <w:left w:val="single" w:sz="4" w:space="0" w:color="auto"/>
              <w:right w:val="single" w:sz="4" w:space="0" w:color="auto"/>
            </w:tcBorders>
            <w:vAlign w:val="center"/>
          </w:tcPr>
          <w:p w:rsidR="001C5620" w:rsidRPr="006B7A00" w:rsidRDefault="001C5620" w:rsidP="00C129AB">
            <w:pPr>
              <w:widowControl/>
              <w:spacing w:line="240" w:lineRule="exact"/>
              <w:jc w:val="center"/>
              <w:rPr>
                <w:rFonts w:ascii="宋体" w:hAnsi="宋体" w:cs="宋体"/>
                <w:kern w:val="0"/>
                <w:sz w:val="20"/>
                <w:szCs w:val="20"/>
              </w:rPr>
            </w:pPr>
          </w:p>
        </w:tc>
        <w:tc>
          <w:tcPr>
            <w:tcW w:w="1276" w:type="dxa"/>
            <w:vMerge/>
            <w:tcBorders>
              <w:left w:val="nil"/>
              <w:right w:val="single" w:sz="4" w:space="0" w:color="auto"/>
            </w:tcBorders>
            <w:vAlign w:val="center"/>
          </w:tcPr>
          <w:p w:rsidR="001C5620" w:rsidRPr="006B7A00" w:rsidRDefault="001C5620" w:rsidP="00C129AB">
            <w:pPr>
              <w:widowControl/>
              <w:spacing w:line="240" w:lineRule="exact"/>
              <w:jc w:val="center"/>
              <w:rPr>
                <w:rFonts w:ascii="宋体" w:hAnsi="宋体" w:cs="宋体"/>
                <w:kern w:val="0"/>
                <w:sz w:val="20"/>
                <w:szCs w:val="20"/>
              </w:rPr>
            </w:pPr>
          </w:p>
        </w:tc>
        <w:tc>
          <w:tcPr>
            <w:tcW w:w="1276" w:type="dxa"/>
            <w:vMerge/>
            <w:tcBorders>
              <w:left w:val="nil"/>
              <w:right w:val="single" w:sz="4" w:space="0" w:color="auto"/>
            </w:tcBorders>
            <w:vAlign w:val="center"/>
          </w:tcPr>
          <w:p w:rsidR="001C5620" w:rsidRPr="00CB652E" w:rsidRDefault="001C5620" w:rsidP="00C129AB">
            <w:pPr>
              <w:widowControl/>
              <w:spacing w:line="240" w:lineRule="exact"/>
              <w:jc w:val="center"/>
              <w:rPr>
                <w:rFonts w:ascii="宋体" w:hAnsi="宋体" w:cs="仿宋_GB2312"/>
              </w:rPr>
            </w:pPr>
          </w:p>
        </w:tc>
        <w:tc>
          <w:tcPr>
            <w:tcW w:w="1276"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sidRPr="00966058">
              <w:rPr>
                <w:rFonts w:ascii="宋体" w:cs="Times New Roman" w:hint="eastAsia"/>
                <w:kern w:val="0"/>
                <w:sz w:val="20"/>
                <w:szCs w:val="20"/>
              </w:rPr>
              <w:t>2.对为专利侵权、假冒行为提供便利条件的处罚</w:t>
            </w:r>
          </w:p>
        </w:tc>
        <w:tc>
          <w:tcPr>
            <w:tcW w:w="8505" w:type="dxa"/>
            <w:tcBorders>
              <w:top w:val="nil"/>
              <w:left w:val="nil"/>
              <w:bottom w:val="single" w:sz="4" w:space="0" w:color="auto"/>
              <w:right w:val="single" w:sz="4" w:space="0" w:color="auto"/>
            </w:tcBorders>
            <w:vAlign w:val="center"/>
          </w:tcPr>
          <w:p w:rsidR="001C5620" w:rsidRPr="00966058" w:rsidRDefault="001C5620" w:rsidP="00C129AB">
            <w:pPr>
              <w:widowControl/>
              <w:spacing w:line="240" w:lineRule="exact"/>
              <w:rPr>
                <w:rFonts w:ascii="宋体" w:cs="Times New Roman"/>
                <w:kern w:val="0"/>
                <w:sz w:val="20"/>
                <w:szCs w:val="20"/>
              </w:rPr>
            </w:pPr>
            <w:r w:rsidRPr="00966058">
              <w:rPr>
                <w:rFonts w:ascii="宋体" w:cs="Times New Roman" w:hint="eastAsia"/>
                <w:kern w:val="0"/>
                <w:sz w:val="20"/>
                <w:szCs w:val="20"/>
              </w:rPr>
              <w:t>【行政法规】《中华人民共和国专利法实施细则》（2001年6月15日中华人民共和国国务院令第306号公布，根据2010年1月9日《国务院关于修改〈中华人民共和国专利法实施细则〉的决定》第二次修订，自2010年2月1日起施行）第七十九条：专利法和本细则所称管理专利工作的部门，是指由省、自治区、直辖市人民政府以及专利管理工作量大又有实际处理能力的设区的市人民政府设立的管理专利工作的部门。</w:t>
            </w:r>
          </w:p>
          <w:p w:rsidR="001C5620" w:rsidRPr="006B7A00" w:rsidRDefault="001C5620" w:rsidP="00C129AB">
            <w:pPr>
              <w:widowControl/>
              <w:spacing w:line="240" w:lineRule="exact"/>
              <w:rPr>
                <w:rFonts w:ascii="宋体" w:cs="Times New Roman"/>
                <w:kern w:val="0"/>
                <w:sz w:val="20"/>
                <w:szCs w:val="20"/>
              </w:rPr>
            </w:pPr>
            <w:r w:rsidRPr="00966058">
              <w:rPr>
                <w:rFonts w:ascii="宋体" w:cs="Times New Roman" w:hint="eastAsia"/>
                <w:kern w:val="0"/>
                <w:sz w:val="20"/>
                <w:szCs w:val="20"/>
              </w:rPr>
              <w:t>【地方性法规】《广西壮族自治区专利条例》（2012年7月26日广西壮族自治区第十一届人民代表大会常务委员会第二十九次会议修订通过公布，自2012年9月1日起施行）第十八条：任何单位和个人不得侵犯他人专利权，不得假冒专利，不得为侵犯他人专利权或者假冒专利提供制造、销售、使用等便利条件。　第三十三条：违反本条例第十八条规定，为侵犯他人专利权、假冒专利提供制造、销售、使用便利条件的，由专利管理部门责令改正，有违法所得的，没收违法所得，可以并处违法所得三倍以下的罚款；没有违法所得的，可以处二万元以下的罚款，情节严重的，可以处二万元以上五万元以下的罚款。</w:t>
            </w:r>
          </w:p>
        </w:tc>
        <w:tc>
          <w:tcPr>
            <w:tcW w:w="850"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sidRPr="00966058">
              <w:rPr>
                <w:rFonts w:ascii="宋体" w:cs="Times New Roman" w:hint="eastAsia"/>
                <w:kern w:val="0"/>
                <w:sz w:val="20"/>
                <w:szCs w:val="20"/>
              </w:rPr>
              <w:t>知识产权科</w:t>
            </w:r>
          </w:p>
        </w:tc>
        <w:tc>
          <w:tcPr>
            <w:tcW w:w="735"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r>
      <w:tr w:rsidR="001C5620" w:rsidRPr="006B7A00" w:rsidTr="00C129AB">
        <w:trPr>
          <w:trHeight w:val="506"/>
          <w:jc w:val="center"/>
        </w:trPr>
        <w:tc>
          <w:tcPr>
            <w:tcW w:w="766" w:type="dxa"/>
            <w:vMerge/>
            <w:tcBorders>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jc w:val="center"/>
              <w:rPr>
                <w:rFonts w:ascii="宋体" w:hAnsi="宋体" w:cs="宋体"/>
                <w:kern w:val="0"/>
                <w:sz w:val="20"/>
                <w:szCs w:val="20"/>
              </w:rPr>
            </w:pPr>
          </w:p>
        </w:tc>
        <w:tc>
          <w:tcPr>
            <w:tcW w:w="1276" w:type="dxa"/>
            <w:vMerge/>
            <w:tcBorders>
              <w:left w:val="nil"/>
              <w:bottom w:val="single" w:sz="4" w:space="0" w:color="auto"/>
              <w:right w:val="single" w:sz="4" w:space="0" w:color="auto"/>
            </w:tcBorders>
            <w:vAlign w:val="center"/>
          </w:tcPr>
          <w:p w:rsidR="001C5620" w:rsidRPr="006B7A00" w:rsidRDefault="001C5620" w:rsidP="00C129AB">
            <w:pPr>
              <w:widowControl/>
              <w:spacing w:line="240" w:lineRule="exact"/>
              <w:jc w:val="center"/>
              <w:rPr>
                <w:rFonts w:ascii="宋体" w:hAnsi="宋体" w:cs="宋体"/>
                <w:kern w:val="0"/>
                <w:sz w:val="20"/>
                <w:szCs w:val="20"/>
              </w:rPr>
            </w:pPr>
          </w:p>
        </w:tc>
        <w:tc>
          <w:tcPr>
            <w:tcW w:w="1276" w:type="dxa"/>
            <w:vMerge/>
            <w:tcBorders>
              <w:left w:val="nil"/>
              <w:bottom w:val="single" w:sz="4" w:space="0" w:color="auto"/>
              <w:right w:val="single" w:sz="4" w:space="0" w:color="auto"/>
            </w:tcBorders>
            <w:vAlign w:val="center"/>
          </w:tcPr>
          <w:p w:rsidR="001C5620" w:rsidRPr="00CB652E" w:rsidRDefault="001C5620" w:rsidP="00C129AB">
            <w:pPr>
              <w:widowControl/>
              <w:spacing w:line="240" w:lineRule="exact"/>
              <w:jc w:val="center"/>
              <w:rPr>
                <w:rFonts w:ascii="宋体" w:hAnsi="宋体" w:cs="仿宋_GB2312"/>
              </w:rPr>
            </w:pPr>
          </w:p>
        </w:tc>
        <w:tc>
          <w:tcPr>
            <w:tcW w:w="1276"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sidRPr="00966058">
              <w:rPr>
                <w:rFonts w:ascii="宋体" w:cs="Times New Roman" w:hint="eastAsia"/>
                <w:kern w:val="0"/>
                <w:sz w:val="20"/>
                <w:szCs w:val="20"/>
              </w:rPr>
              <w:t>3.对展览会、展示会、推广会、交易会等会展举办者未按规定履行专利审查义务的处罚</w:t>
            </w:r>
          </w:p>
        </w:tc>
        <w:tc>
          <w:tcPr>
            <w:tcW w:w="8505" w:type="dxa"/>
            <w:tcBorders>
              <w:top w:val="nil"/>
              <w:left w:val="nil"/>
              <w:bottom w:val="single" w:sz="4" w:space="0" w:color="auto"/>
              <w:right w:val="single" w:sz="4" w:space="0" w:color="auto"/>
            </w:tcBorders>
            <w:vAlign w:val="center"/>
          </w:tcPr>
          <w:p w:rsidR="001C5620" w:rsidRPr="00966058" w:rsidRDefault="001C5620" w:rsidP="00C129AB">
            <w:pPr>
              <w:widowControl/>
              <w:spacing w:line="240" w:lineRule="exact"/>
              <w:rPr>
                <w:rFonts w:ascii="宋体" w:cs="Times New Roman"/>
                <w:kern w:val="0"/>
                <w:sz w:val="20"/>
                <w:szCs w:val="20"/>
              </w:rPr>
            </w:pPr>
            <w:r w:rsidRPr="00966058">
              <w:rPr>
                <w:rFonts w:ascii="宋体" w:cs="Times New Roman" w:hint="eastAsia"/>
                <w:kern w:val="0"/>
                <w:sz w:val="20"/>
                <w:szCs w:val="20"/>
              </w:rPr>
              <w:t>【行政法规】《中华人民共和国专利法实施细则》（2001年6月15日中华人民共和国国务院令第306号公布，根据2010年1月9日《国务院关于修改〈中华人民共和国专利法实施细则〉的决定》第二次修订，自2010年2月1日起施行）第七十九条：专利法和本细则所称管理专利工作的部门，是指由省、自治区、直辖市人民政府以及专利管理工作量大又有实际处理能力的设区的市人民政府设立的管理专利工作的部门。</w:t>
            </w:r>
          </w:p>
          <w:p w:rsidR="001C5620" w:rsidRPr="006B7A00" w:rsidRDefault="001C5620" w:rsidP="00C129AB">
            <w:pPr>
              <w:widowControl/>
              <w:spacing w:line="240" w:lineRule="exact"/>
              <w:rPr>
                <w:rFonts w:ascii="宋体" w:cs="Times New Roman"/>
                <w:kern w:val="0"/>
                <w:sz w:val="20"/>
                <w:szCs w:val="20"/>
              </w:rPr>
            </w:pPr>
            <w:r w:rsidRPr="00966058">
              <w:rPr>
                <w:rFonts w:ascii="宋体" w:cs="Times New Roman" w:hint="eastAsia"/>
                <w:kern w:val="0"/>
                <w:sz w:val="20"/>
                <w:szCs w:val="20"/>
              </w:rPr>
              <w:t>【地方性法规】《广西壮族自治区专利条例》（2012年7月26日广西壮族自治区第十一届人民代表大会常务委员会第二十九次会议修订通过公布，自2012年9月1日起施行）第二十九条：展览会、展示会、推广会、交易会等会展举办者对标注专利标记的参展产品或者技术，应当查验其专利登记簿副本，被许可实施人还应当提供专利实施许可合同，未提供的，举办者应当拒绝其以专利产品、专利技术名义进场参展。　第三十四条：违反本条例第二十九条规定，会展的举办者允许未提供相应证明文件的产品或者技术以专利产品、专利技术名义参展的，由专利管理部门责令举办者改正，可以处一万元以下的罚款。</w:t>
            </w:r>
          </w:p>
        </w:tc>
        <w:tc>
          <w:tcPr>
            <w:tcW w:w="850"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sidRPr="00966058">
              <w:rPr>
                <w:rFonts w:ascii="宋体" w:cs="Times New Roman" w:hint="eastAsia"/>
                <w:kern w:val="0"/>
                <w:sz w:val="20"/>
                <w:szCs w:val="20"/>
              </w:rPr>
              <w:t>知识产权科</w:t>
            </w:r>
          </w:p>
        </w:tc>
        <w:tc>
          <w:tcPr>
            <w:tcW w:w="735"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r>
      <w:tr w:rsidR="001C5620" w:rsidRPr="006B7A00" w:rsidTr="00C129AB">
        <w:trPr>
          <w:trHeight w:val="454"/>
          <w:jc w:val="center"/>
        </w:trPr>
        <w:tc>
          <w:tcPr>
            <w:tcW w:w="766" w:type="dxa"/>
            <w:tcBorders>
              <w:top w:val="nil"/>
              <w:left w:val="single" w:sz="4" w:space="0" w:color="auto"/>
              <w:bottom w:val="single" w:sz="4" w:space="0" w:color="auto"/>
              <w:right w:val="single" w:sz="4" w:space="0" w:color="auto"/>
            </w:tcBorders>
            <w:vAlign w:val="center"/>
          </w:tcPr>
          <w:p w:rsidR="001C5620" w:rsidRDefault="001C5620" w:rsidP="00C129AB">
            <w:pPr>
              <w:widowControl/>
              <w:spacing w:line="240" w:lineRule="exact"/>
              <w:jc w:val="center"/>
              <w:rPr>
                <w:rFonts w:ascii="黑体" w:eastAsia="黑体" w:hAnsi="宋体" w:cs="Times New Roman"/>
                <w:kern w:val="0"/>
                <w:sz w:val="24"/>
                <w:szCs w:val="24"/>
              </w:rPr>
            </w:pPr>
            <w:r>
              <w:rPr>
                <w:rFonts w:ascii="黑体" w:eastAsia="黑体" w:hAnsi="宋体" w:cs="黑体" w:hint="eastAsia"/>
                <w:kern w:val="0"/>
                <w:sz w:val="24"/>
                <w:szCs w:val="24"/>
              </w:rPr>
              <w:t>二</w:t>
            </w:r>
          </w:p>
        </w:tc>
        <w:tc>
          <w:tcPr>
            <w:tcW w:w="1276" w:type="dxa"/>
            <w:tcBorders>
              <w:top w:val="nil"/>
              <w:left w:val="nil"/>
              <w:bottom w:val="single" w:sz="4" w:space="0" w:color="auto"/>
              <w:right w:val="single" w:sz="4" w:space="0" w:color="auto"/>
            </w:tcBorders>
            <w:vAlign w:val="center"/>
          </w:tcPr>
          <w:p w:rsidR="001C5620" w:rsidRDefault="001C5620" w:rsidP="00C129AB">
            <w:pPr>
              <w:widowControl/>
              <w:spacing w:line="240" w:lineRule="exact"/>
              <w:jc w:val="center"/>
              <w:rPr>
                <w:rFonts w:ascii="黑体" w:eastAsia="黑体" w:hAnsi="宋体" w:cs="Times New Roman"/>
                <w:kern w:val="0"/>
                <w:sz w:val="24"/>
                <w:szCs w:val="24"/>
              </w:rPr>
            </w:pPr>
            <w:r>
              <w:rPr>
                <w:rFonts w:ascii="黑体" w:eastAsia="黑体" w:hAnsi="宋体" w:cs="黑体" w:hint="eastAsia"/>
                <w:kern w:val="0"/>
                <w:sz w:val="24"/>
                <w:szCs w:val="24"/>
              </w:rPr>
              <w:t>行政强制</w:t>
            </w:r>
          </w:p>
        </w:tc>
        <w:tc>
          <w:tcPr>
            <w:tcW w:w="1276" w:type="dxa"/>
            <w:tcBorders>
              <w:top w:val="nil"/>
              <w:left w:val="nil"/>
              <w:bottom w:val="single" w:sz="4" w:space="0" w:color="auto"/>
              <w:right w:val="single" w:sz="4" w:space="0" w:color="auto"/>
            </w:tcBorders>
            <w:vAlign w:val="center"/>
          </w:tcPr>
          <w:p w:rsidR="001C5620" w:rsidRDefault="001C5620" w:rsidP="00C129AB">
            <w:pPr>
              <w:widowControl/>
              <w:spacing w:line="240" w:lineRule="exact"/>
              <w:jc w:val="center"/>
              <w:rPr>
                <w:rFonts w:ascii="黑体" w:eastAsia="黑体" w:hAnsi="宋体" w:cs="Times New Roman"/>
                <w:kern w:val="0"/>
                <w:sz w:val="24"/>
                <w:szCs w:val="24"/>
              </w:rPr>
            </w:pPr>
            <w:r>
              <w:rPr>
                <w:rFonts w:ascii="黑体" w:eastAsia="黑体" w:hAnsi="宋体" w:cs="黑体" w:hint="eastAsia"/>
                <w:kern w:val="0"/>
                <w:sz w:val="24"/>
                <w:szCs w:val="24"/>
              </w:rPr>
              <w:t>共1项</w:t>
            </w:r>
          </w:p>
        </w:tc>
        <w:tc>
          <w:tcPr>
            <w:tcW w:w="1276"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c>
          <w:tcPr>
            <w:tcW w:w="8505"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c>
          <w:tcPr>
            <w:tcW w:w="850"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c>
          <w:tcPr>
            <w:tcW w:w="735"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r>
      <w:tr w:rsidR="001C5620" w:rsidRPr="006B7A00" w:rsidTr="00C129AB">
        <w:trPr>
          <w:trHeight w:val="454"/>
          <w:jc w:val="center"/>
        </w:trPr>
        <w:tc>
          <w:tcPr>
            <w:tcW w:w="766" w:type="dxa"/>
            <w:tcBorders>
              <w:top w:val="nil"/>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jc w:val="center"/>
              <w:rPr>
                <w:rFonts w:ascii="宋体" w:cs="Times New Roman"/>
                <w:kern w:val="0"/>
                <w:sz w:val="20"/>
                <w:szCs w:val="20"/>
              </w:rPr>
            </w:pPr>
            <w:r w:rsidRPr="000B386B">
              <w:rPr>
                <w:rFonts w:ascii="宋体" w:cs="Times New Roman" w:hint="eastAsia"/>
                <w:kern w:val="0"/>
                <w:sz w:val="20"/>
                <w:szCs w:val="20"/>
              </w:rPr>
              <w:t>1</w:t>
            </w:r>
          </w:p>
        </w:tc>
        <w:tc>
          <w:tcPr>
            <w:tcW w:w="1276"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jc w:val="center"/>
              <w:rPr>
                <w:rFonts w:ascii="宋体" w:cs="Times New Roman"/>
                <w:kern w:val="0"/>
                <w:sz w:val="20"/>
                <w:szCs w:val="20"/>
              </w:rPr>
            </w:pPr>
            <w:r w:rsidRPr="000B386B">
              <w:rPr>
                <w:rFonts w:ascii="宋体" w:cs="Times New Roman" w:hint="eastAsia"/>
                <w:kern w:val="0"/>
                <w:sz w:val="20"/>
                <w:szCs w:val="20"/>
              </w:rPr>
              <w:t>行政强制</w:t>
            </w:r>
          </w:p>
        </w:tc>
        <w:tc>
          <w:tcPr>
            <w:tcW w:w="1276"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jc w:val="center"/>
              <w:rPr>
                <w:rFonts w:ascii="宋体" w:cs="Times New Roman"/>
                <w:kern w:val="0"/>
                <w:sz w:val="20"/>
                <w:szCs w:val="20"/>
              </w:rPr>
            </w:pPr>
            <w:r w:rsidRPr="000B386B">
              <w:rPr>
                <w:rFonts w:ascii="宋体" w:cs="Times New Roman" w:hint="eastAsia"/>
                <w:kern w:val="0"/>
                <w:sz w:val="20"/>
                <w:szCs w:val="20"/>
              </w:rPr>
              <w:t>对有证据证</w:t>
            </w:r>
            <w:r w:rsidRPr="000B386B">
              <w:rPr>
                <w:rFonts w:ascii="宋体" w:cs="Times New Roman" w:hint="eastAsia"/>
                <w:kern w:val="0"/>
                <w:sz w:val="20"/>
                <w:szCs w:val="20"/>
              </w:rPr>
              <w:lastRenderedPageBreak/>
              <w:t>明是假冒专利产品的查封或者扣押</w:t>
            </w:r>
          </w:p>
        </w:tc>
        <w:tc>
          <w:tcPr>
            <w:tcW w:w="1276"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c>
          <w:tcPr>
            <w:tcW w:w="8505" w:type="dxa"/>
            <w:tcBorders>
              <w:top w:val="nil"/>
              <w:left w:val="nil"/>
              <w:bottom w:val="single" w:sz="4" w:space="0" w:color="auto"/>
              <w:right w:val="single" w:sz="4" w:space="0" w:color="auto"/>
            </w:tcBorders>
            <w:vAlign w:val="center"/>
          </w:tcPr>
          <w:p w:rsidR="001C5620" w:rsidRPr="00966058" w:rsidRDefault="001C5620" w:rsidP="00C129AB">
            <w:pPr>
              <w:widowControl/>
              <w:spacing w:line="240" w:lineRule="exact"/>
              <w:rPr>
                <w:rFonts w:ascii="宋体" w:cs="Times New Roman"/>
                <w:kern w:val="0"/>
                <w:sz w:val="20"/>
                <w:szCs w:val="20"/>
              </w:rPr>
            </w:pPr>
            <w:r w:rsidRPr="00966058">
              <w:rPr>
                <w:rFonts w:ascii="宋体" w:cs="Times New Roman" w:hint="eastAsia"/>
                <w:kern w:val="0"/>
                <w:sz w:val="20"/>
                <w:szCs w:val="20"/>
              </w:rPr>
              <w:t>【法律】《中华人民共和国专利法》（2008年12月27日中华人民共和国主席令第八号公布，自</w:t>
            </w:r>
            <w:r w:rsidRPr="00966058">
              <w:rPr>
                <w:rFonts w:ascii="宋体" w:cs="Times New Roman" w:hint="eastAsia"/>
                <w:kern w:val="0"/>
                <w:sz w:val="20"/>
                <w:szCs w:val="20"/>
              </w:rPr>
              <w:lastRenderedPageBreak/>
              <w:t>2009年10月1日起施行）第六十四条第一款：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p w:rsidR="001C5620" w:rsidRPr="006B7A00" w:rsidRDefault="001C5620" w:rsidP="00C129AB">
            <w:pPr>
              <w:widowControl/>
              <w:spacing w:line="240" w:lineRule="exact"/>
              <w:rPr>
                <w:rFonts w:ascii="宋体" w:cs="Times New Roman"/>
                <w:kern w:val="0"/>
                <w:sz w:val="20"/>
                <w:szCs w:val="20"/>
              </w:rPr>
            </w:pPr>
            <w:r w:rsidRPr="00966058">
              <w:rPr>
                <w:rFonts w:ascii="宋体" w:cs="Times New Roman" w:hint="eastAsia"/>
                <w:kern w:val="0"/>
                <w:sz w:val="20"/>
                <w:szCs w:val="20"/>
              </w:rPr>
              <w:t>【行政法规】《中华人民共和国专利法实施细则》（2001年6月15日中华人民共和国国务院令第306号公布，根据2010年1月9日《国务院关于修改〈中华人民共和国专利法实施细则〉的决定》第二次修订，自2010年2月1日起施行）第七十九条：专利法和本细则所称管理专利工作的部门，是指由省、自治区、直辖市人民政府以及专利管理工作量大又有实际处理能力的设区的市人民政府设立的管理专利工作的部门。</w:t>
            </w:r>
          </w:p>
        </w:tc>
        <w:tc>
          <w:tcPr>
            <w:tcW w:w="850"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sidRPr="00966058">
              <w:rPr>
                <w:rFonts w:ascii="宋体" w:cs="Times New Roman" w:hint="eastAsia"/>
                <w:kern w:val="0"/>
                <w:sz w:val="20"/>
                <w:szCs w:val="20"/>
              </w:rPr>
              <w:lastRenderedPageBreak/>
              <w:t>知识产</w:t>
            </w:r>
            <w:r w:rsidRPr="00966058">
              <w:rPr>
                <w:rFonts w:ascii="宋体" w:cs="Times New Roman" w:hint="eastAsia"/>
                <w:kern w:val="0"/>
                <w:sz w:val="20"/>
                <w:szCs w:val="20"/>
              </w:rPr>
              <w:lastRenderedPageBreak/>
              <w:t>权科</w:t>
            </w:r>
          </w:p>
        </w:tc>
        <w:tc>
          <w:tcPr>
            <w:tcW w:w="735" w:type="dxa"/>
            <w:tcBorders>
              <w:top w:val="nil"/>
              <w:left w:val="nil"/>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r>
      <w:tr w:rsidR="001C5620" w:rsidRPr="006B7A00" w:rsidTr="00C129AB">
        <w:trPr>
          <w:trHeight w:val="618"/>
          <w:jc w:val="center"/>
        </w:trPr>
        <w:tc>
          <w:tcPr>
            <w:tcW w:w="766" w:type="dxa"/>
            <w:tcBorders>
              <w:top w:val="single" w:sz="4" w:space="0" w:color="auto"/>
              <w:left w:val="single" w:sz="4" w:space="0" w:color="auto"/>
              <w:bottom w:val="single" w:sz="4" w:space="0" w:color="auto"/>
              <w:right w:val="single" w:sz="4" w:space="0" w:color="auto"/>
            </w:tcBorders>
            <w:vAlign w:val="center"/>
          </w:tcPr>
          <w:p w:rsidR="001C5620" w:rsidRDefault="001C5620" w:rsidP="00C129AB">
            <w:pPr>
              <w:widowControl/>
              <w:spacing w:line="240" w:lineRule="exact"/>
              <w:jc w:val="center"/>
              <w:rPr>
                <w:rFonts w:ascii="黑体" w:eastAsia="黑体" w:hAnsi="宋体" w:cs="Times New Roman"/>
                <w:kern w:val="0"/>
                <w:sz w:val="24"/>
                <w:szCs w:val="24"/>
              </w:rPr>
            </w:pPr>
            <w:r>
              <w:rPr>
                <w:rFonts w:ascii="黑体" w:eastAsia="黑体" w:hAnsi="宋体" w:cs="黑体" w:hint="eastAsia"/>
                <w:kern w:val="0"/>
                <w:sz w:val="24"/>
                <w:szCs w:val="24"/>
              </w:rPr>
              <w:lastRenderedPageBreak/>
              <w:t>三</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Default="001C5620" w:rsidP="00C129AB">
            <w:pPr>
              <w:widowControl/>
              <w:spacing w:line="240" w:lineRule="exact"/>
              <w:jc w:val="center"/>
              <w:rPr>
                <w:rFonts w:ascii="黑体" w:eastAsia="黑体" w:hAnsi="宋体" w:cs="Times New Roman"/>
                <w:kern w:val="0"/>
                <w:sz w:val="24"/>
                <w:szCs w:val="24"/>
              </w:rPr>
            </w:pPr>
            <w:r>
              <w:rPr>
                <w:rFonts w:ascii="黑体" w:eastAsia="黑体" w:hAnsi="宋体" w:cs="黑体" w:hint="eastAsia"/>
                <w:kern w:val="0"/>
                <w:sz w:val="24"/>
                <w:szCs w:val="24"/>
              </w:rPr>
              <w:t>行政检查</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Default="001C5620" w:rsidP="00C129AB">
            <w:pPr>
              <w:widowControl/>
              <w:spacing w:line="240" w:lineRule="exact"/>
              <w:jc w:val="center"/>
              <w:rPr>
                <w:rFonts w:ascii="黑体" w:eastAsia="黑体" w:hAnsi="宋体" w:cs="Times New Roman"/>
                <w:kern w:val="0"/>
                <w:sz w:val="24"/>
                <w:szCs w:val="24"/>
              </w:rPr>
            </w:pPr>
            <w:r>
              <w:rPr>
                <w:rFonts w:ascii="黑体" w:eastAsia="黑体" w:hAnsi="宋体" w:cs="黑体" w:hint="eastAsia"/>
                <w:kern w:val="0"/>
                <w:sz w:val="24"/>
                <w:szCs w:val="24"/>
              </w:rPr>
              <w:t>共2项</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c>
          <w:tcPr>
            <w:tcW w:w="8505"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r>
      <w:tr w:rsidR="001C5620" w:rsidRPr="006B7A00" w:rsidTr="00C129AB">
        <w:trPr>
          <w:trHeight w:val="585"/>
          <w:jc w:val="center"/>
        </w:trPr>
        <w:tc>
          <w:tcPr>
            <w:tcW w:w="766" w:type="dxa"/>
            <w:tcBorders>
              <w:top w:val="single" w:sz="4" w:space="0" w:color="auto"/>
              <w:left w:val="single" w:sz="4" w:space="0" w:color="auto"/>
              <w:bottom w:val="single" w:sz="4" w:space="0" w:color="auto"/>
              <w:right w:val="single" w:sz="4" w:space="0" w:color="auto"/>
            </w:tcBorders>
            <w:vAlign w:val="center"/>
          </w:tcPr>
          <w:p w:rsidR="001C5620" w:rsidRPr="000B386B" w:rsidRDefault="001C5620" w:rsidP="00C129AB">
            <w:pPr>
              <w:widowControl/>
              <w:spacing w:line="240" w:lineRule="exact"/>
              <w:jc w:val="center"/>
              <w:rPr>
                <w:rFonts w:ascii="宋体" w:cs="Times New Roman"/>
                <w:kern w:val="0"/>
                <w:sz w:val="20"/>
                <w:szCs w:val="20"/>
              </w:rPr>
            </w:pPr>
            <w:r w:rsidRPr="000B386B">
              <w:rPr>
                <w:rFonts w:ascii="宋体" w:cs="Times New Roman" w:hint="eastAsia"/>
                <w:kern w:val="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0B386B" w:rsidRDefault="001C5620" w:rsidP="00C129AB">
            <w:pPr>
              <w:widowControl/>
              <w:spacing w:line="240" w:lineRule="exact"/>
              <w:jc w:val="center"/>
              <w:rPr>
                <w:rFonts w:ascii="宋体" w:cs="Times New Roman"/>
                <w:kern w:val="0"/>
                <w:sz w:val="20"/>
                <w:szCs w:val="20"/>
              </w:rPr>
            </w:pPr>
            <w:r w:rsidRPr="000B386B">
              <w:rPr>
                <w:rFonts w:ascii="宋体" w:cs="Times New Roman" w:hint="eastAsia"/>
                <w:kern w:val="0"/>
                <w:sz w:val="20"/>
                <w:szCs w:val="20"/>
              </w:rPr>
              <w:t>行政检查</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textAlignment w:val="center"/>
              <w:rPr>
                <w:rFonts w:ascii="宋体" w:cs="Times New Roman"/>
                <w:kern w:val="0"/>
                <w:sz w:val="20"/>
                <w:szCs w:val="20"/>
              </w:rPr>
            </w:pPr>
            <w:r w:rsidRPr="000B386B">
              <w:rPr>
                <w:rFonts w:ascii="宋体" w:cs="Times New Roman" w:hint="eastAsia"/>
                <w:kern w:val="0"/>
                <w:sz w:val="20"/>
                <w:szCs w:val="20"/>
              </w:rPr>
              <w:t>对生产、流通环节的专利产品的检查</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c>
          <w:tcPr>
            <w:tcW w:w="8505"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textAlignment w:val="center"/>
              <w:rPr>
                <w:rFonts w:ascii="宋体" w:cs="Times New Roman"/>
                <w:kern w:val="0"/>
                <w:sz w:val="20"/>
                <w:szCs w:val="20"/>
              </w:rPr>
            </w:pPr>
            <w:r w:rsidRPr="00D97760">
              <w:rPr>
                <w:rFonts w:ascii="宋体" w:cs="Times New Roman" w:hint="eastAsia"/>
                <w:kern w:val="0"/>
                <w:sz w:val="20"/>
                <w:szCs w:val="20"/>
              </w:rPr>
              <w:t xml:space="preserve">【行政法规】《广西壮族自治区专利条例》（2012年7月26日广西壮族自治区第十一届人民代表大会常务委员会第二十九次会议修订通过公布，自2012年9月1日起施行）第十九条：专利管理部门以及县级以上人民政府有关部门应当加强专利保护工作，建立专利行政执法责任制，设立举报投诉电话，对生产、流通环节的专利产品开展经常性检查和专项检查；及时处理专利侵权纠纷和查处假冒专利行为。　</w:t>
            </w:r>
          </w:p>
        </w:tc>
        <w:tc>
          <w:tcPr>
            <w:tcW w:w="850"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sidRPr="00D97760">
              <w:rPr>
                <w:rFonts w:ascii="宋体" w:cs="Times New Roman" w:hint="eastAsia"/>
                <w:kern w:val="0"/>
                <w:sz w:val="20"/>
                <w:szCs w:val="20"/>
              </w:rPr>
              <w:t>知识产权科</w:t>
            </w:r>
          </w:p>
        </w:tc>
        <w:tc>
          <w:tcPr>
            <w:tcW w:w="735"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r>
      <w:tr w:rsidR="001C5620" w:rsidRPr="006B7A00" w:rsidTr="00C129AB">
        <w:trPr>
          <w:trHeight w:val="585"/>
          <w:jc w:val="center"/>
        </w:trPr>
        <w:tc>
          <w:tcPr>
            <w:tcW w:w="766"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jc w:val="center"/>
              <w:rPr>
                <w:rFonts w:ascii="宋体" w:cs="Times New Roman"/>
                <w:kern w:val="0"/>
                <w:sz w:val="20"/>
                <w:szCs w:val="20"/>
              </w:rPr>
            </w:pPr>
            <w:r w:rsidRPr="000B386B">
              <w:rPr>
                <w:rFonts w:ascii="宋体" w:cs="Times New Roman" w:hint="eastAsia"/>
                <w:kern w:val="0"/>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jc w:val="center"/>
              <w:rPr>
                <w:rFonts w:ascii="宋体" w:cs="Times New Roman"/>
                <w:kern w:val="0"/>
                <w:sz w:val="20"/>
                <w:szCs w:val="20"/>
              </w:rPr>
            </w:pPr>
            <w:r w:rsidRPr="000B386B">
              <w:rPr>
                <w:rFonts w:ascii="宋体" w:cs="Times New Roman" w:hint="eastAsia"/>
                <w:kern w:val="0"/>
                <w:sz w:val="20"/>
                <w:szCs w:val="20"/>
              </w:rPr>
              <w:t>行政检查…</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textAlignment w:val="center"/>
              <w:rPr>
                <w:rFonts w:ascii="宋体" w:cs="Times New Roman"/>
                <w:kern w:val="0"/>
                <w:sz w:val="20"/>
                <w:szCs w:val="20"/>
              </w:rPr>
            </w:pPr>
            <w:r w:rsidRPr="00B078C6">
              <w:rPr>
                <w:rFonts w:ascii="宋体" w:cs="Times New Roman" w:hint="eastAsia"/>
                <w:kern w:val="0"/>
                <w:sz w:val="20"/>
                <w:szCs w:val="20"/>
              </w:rPr>
              <w:t>对规范专利标识标注的检查</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c>
          <w:tcPr>
            <w:tcW w:w="8505"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textAlignment w:val="center"/>
              <w:rPr>
                <w:rFonts w:ascii="宋体" w:cs="Times New Roman"/>
                <w:kern w:val="0"/>
                <w:sz w:val="20"/>
                <w:szCs w:val="20"/>
              </w:rPr>
            </w:pPr>
            <w:r w:rsidRPr="00D97760">
              <w:rPr>
                <w:rFonts w:ascii="宋体" w:cs="Times New Roman" w:hint="eastAsia"/>
                <w:kern w:val="0"/>
                <w:sz w:val="20"/>
                <w:szCs w:val="20"/>
              </w:rPr>
              <w:t>【行政法规】《中华人民共和国专利法实施细则》（2001年6月15日中华人民共和国国务院令第306号公布，根据2010年1月9日《国务院关于修改〈中华人民共和国专利法实施细则〉的决定》第二次修订，自2010年2月1日起施行）第七十九条：专利法和本细则所称管理专利工作的部门，是指由省、自治区、直辖市人民政府以及专利管理工作量大又有实际处理能力的设区的市人民政府设立的管理专利工作的部门。　第八十三条：专利权人依照专利法第十七条的规定，在其专利产品或者该产品的包装上标明专利标识的，应当按照国务院专利行政部门规定的方式予以标明。专利标识不符合前款规定的，由管理专利工作的部门责令改正。             【部门规章】《中华人民共和国专利法实施细则》《专利标识标注办法》（2012年3月8日国家</w:t>
            </w:r>
            <w:proofErr w:type="gramStart"/>
            <w:r w:rsidRPr="00D97760">
              <w:rPr>
                <w:rFonts w:ascii="宋体" w:cs="Times New Roman" w:hint="eastAsia"/>
                <w:kern w:val="0"/>
                <w:sz w:val="20"/>
                <w:szCs w:val="20"/>
              </w:rPr>
              <w:t>知识产权局令第六十三号</w:t>
            </w:r>
            <w:proofErr w:type="gramEnd"/>
            <w:r w:rsidRPr="00D97760">
              <w:rPr>
                <w:rFonts w:ascii="宋体" w:cs="Times New Roman" w:hint="eastAsia"/>
                <w:kern w:val="0"/>
                <w:sz w:val="20"/>
                <w:szCs w:val="20"/>
              </w:rPr>
              <w:t>公布，自2012年5月1日起施行）第三条：管理专利工作的部门负责在本行政区域内对标注专利标识的行为进行监督管理。</w:t>
            </w:r>
          </w:p>
        </w:tc>
        <w:tc>
          <w:tcPr>
            <w:tcW w:w="850"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sidRPr="00D97760">
              <w:rPr>
                <w:rFonts w:ascii="宋体" w:cs="Times New Roman" w:hint="eastAsia"/>
                <w:kern w:val="0"/>
                <w:sz w:val="20"/>
                <w:szCs w:val="20"/>
              </w:rPr>
              <w:t>知识产权科</w:t>
            </w:r>
          </w:p>
        </w:tc>
        <w:tc>
          <w:tcPr>
            <w:tcW w:w="735"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r>
      <w:tr w:rsidR="001C5620" w:rsidRPr="006B7A00" w:rsidTr="00C129AB">
        <w:trPr>
          <w:trHeight w:val="618"/>
          <w:jc w:val="center"/>
        </w:trPr>
        <w:tc>
          <w:tcPr>
            <w:tcW w:w="766" w:type="dxa"/>
            <w:tcBorders>
              <w:top w:val="single" w:sz="4" w:space="0" w:color="auto"/>
              <w:left w:val="single" w:sz="4" w:space="0" w:color="auto"/>
              <w:bottom w:val="single" w:sz="4" w:space="0" w:color="auto"/>
              <w:right w:val="single" w:sz="4" w:space="0" w:color="auto"/>
            </w:tcBorders>
            <w:vAlign w:val="center"/>
          </w:tcPr>
          <w:p w:rsidR="001C5620" w:rsidRDefault="001C5620" w:rsidP="00C129AB">
            <w:pPr>
              <w:widowControl/>
              <w:spacing w:line="240" w:lineRule="exact"/>
              <w:jc w:val="center"/>
              <w:rPr>
                <w:rFonts w:ascii="黑体" w:eastAsia="黑体" w:hAnsi="宋体" w:cs="Times New Roman"/>
                <w:kern w:val="0"/>
                <w:sz w:val="24"/>
                <w:szCs w:val="24"/>
              </w:rPr>
            </w:pPr>
            <w:r>
              <w:rPr>
                <w:rFonts w:ascii="黑体" w:eastAsia="黑体" w:hAnsi="宋体" w:cs="黑体" w:hint="eastAsia"/>
                <w:kern w:val="0"/>
                <w:sz w:val="24"/>
                <w:szCs w:val="24"/>
              </w:rPr>
              <w:lastRenderedPageBreak/>
              <w:t>四</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Default="001C5620" w:rsidP="00C129AB">
            <w:pPr>
              <w:widowControl/>
              <w:spacing w:line="240" w:lineRule="exact"/>
              <w:jc w:val="center"/>
              <w:rPr>
                <w:rFonts w:ascii="黑体" w:eastAsia="黑体" w:hAnsi="宋体" w:cs="Times New Roman"/>
                <w:kern w:val="0"/>
                <w:sz w:val="24"/>
                <w:szCs w:val="24"/>
              </w:rPr>
            </w:pPr>
            <w:r>
              <w:rPr>
                <w:rFonts w:ascii="黑体" w:eastAsia="黑体" w:hAnsi="宋体" w:cs="黑体" w:hint="eastAsia"/>
                <w:kern w:val="0"/>
                <w:sz w:val="24"/>
                <w:szCs w:val="24"/>
              </w:rPr>
              <w:t>其他行政权力</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Default="001C5620" w:rsidP="00C129AB">
            <w:pPr>
              <w:widowControl/>
              <w:spacing w:line="240" w:lineRule="exact"/>
              <w:jc w:val="center"/>
              <w:rPr>
                <w:rFonts w:ascii="黑体" w:eastAsia="黑体" w:hAnsi="宋体" w:cs="Times New Roman"/>
                <w:kern w:val="0"/>
                <w:sz w:val="24"/>
                <w:szCs w:val="24"/>
              </w:rPr>
            </w:pPr>
            <w:r>
              <w:rPr>
                <w:rFonts w:ascii="黑体" w:eastAsia="黑体" w:hAnsi="宋体" w:cs="黑体" w:hint="eastAsia"/>
                <w:kern w:val="0"/>
                <w:sz w:val="24"/>
                <w:szCs w:val="24"/>
              </w:rPr>
              <w:t>共5项</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c>
          <w:tcPr>
            <w:tcW w:w="8505"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r>
      <w:tr w:rsidR="001C5620" w:rsidRPr="006B7A00" w:rsidTr="00C129AB">
        <w:trPr>
          <w:trHeight w:val="618"/>
          <w:jc w:val="center"/>
        </w:trPr>
        <w:tc>
          <w:tcPr>
            <w:tcW w:w="766" w:type="dxa"/>
            <w:vMerge w:val="restart"/>
            <w:tcBorders>
              <w:top w:val="single" w:sz="4" w:space="0" w:color="auto"/>
              <w:left w:val="single" w:sz="4" w:space="0" w:color="auto"/>
              <w:right w:val="single" w:sz="4" w:space="0" w:color="auto"/>
            </w:tcBorders>
            <w:vAlign w:val="center"/>
          </w:tcPr>
          <w:p w:rsidR="001C5620" w:rsidRPr="000B386B" w:rsidRDefault="001C5620" w:rsidP="00C129AB">
            <w:pPr>
              <w:widowControl/>
              <w:spacing w:line="240" w:lineRule="exact"/>
              <w:jc w:val="center"/>
              <w:rPr>
                <w:rFonts w:ascii="宋体" w:cs="Times New Roman"/>
                <w:kern w:val="0"/>
                <w:sz w:val="20"/>
                <w:szCs w:val="20"/>
              </w:rPr>
            </w:pPr>
            <w:r w:rsidRPr="000B386B">
              <w:rPr>
                <w:rFonts w:ascii="宋体" w:cs="Times New Roman" w:hint="eastAsia"/>
                <w:kern w:val="0"/>
                <w:sz w:val="20"/>
                <w:szCs w:val="20"/>
              </w:rPr>
              <w:t>1</w:t>
            </w:r>
          </w:p>
          <w:p w:rsidR="001C5620" w:rsidRPr="000B386B" w:rsidRDefault="001C5620" w:rsidP="00C129AB">
            <w:pPr>
              <w:spacing w:line="240" w:lineRule="exact"/>
              <w:jc w:val="center"/>
              <w:rPr>
                <w:rFonts w:ascii="宋体" w:cs="Times New Roman"/>
                <w:kern w:val="0"/>
                <w:sz w:val="20"/>
                <w:szCs w:val="20"/>
              </w:rPr>
            </w:pPr>
          </w:p>
        </w:tc>
        <w:tc>
          <w:tcPr>
            <w:tcW w:w="1276" w:type="dxa"/>
            <w:vMerge w:val="restart"/>
            <w:tcBorders>
              <w:top w:val="single" w:sz="4" w:space="0" w:color="auto"/>
              <w:left w:val="single" w:sz="4" w:space="0" w:color="auto"/>
              <w:right w:val="single" w:sz="4" w:space="0" w:color="auto"/>
            </w:tcBorders>
            <w:vAlign w:val="center"/>
          </w:tcPr>
          <w:p w:rsidR="001C5620" w:rsidRPr="000B386B" w:rsidRDefault="001C5620" w:rsidP="00C129AB">
            <w:pPr>
              <w:widowControl/>
              <w:spacing w:line="240" w:lineRule="exact"/>
              <w:jc w:val="center"/>
              <w:rPr>
                <w:rFonts w:ascii="宋体" w:cs="Times New Roman"/>
                <w:kern w:val="0"/>
                <w:sz w:val="20"/>
                <w:szCs w:val="20"/>
              </w:rPr>
            </w:pPr>
            <w:r w:rsidRPr="000B386B">
              <w:rPr>
                <w:rFonts w:ascii="宋体" w:cs="Times New Roman" w:hint="eastAsia"/>
                <w:kern w:val="0"/>
                <w:sz w:val="20"/>
                <w:szCs w:val="20"/>
              </w:rPr>
              <w:t>其他行政权力</w:t>
            </w:r>
          </w:p>
          <w:p w:rsidR="001C5620" w:rsidRPr="000B386B" w:rsidRDefault="001C5620" w:rsidP="00C129AB">
            <w:pPr>
              <w:spacing w:line="240" w:lineRule="exact"/>
              <w:jc w:val="center"/>
              <w:rPr>
                <w:rFonts w:ascii="宋体" w:cs="Times New Roman"/>
                <w:kern w:val="0"/>
                <w:sz w:val="20"/>
                <w:szCs w:val="20"/>
              </w:rPr>
            </w:pPr>
          </w:p>
        </w:tc>
        <w:tc>
          <w:tcPr>
            <w:tcW w:w="1276" w:type="dxa"/>
            <w:vMerge w:val="restart"/>
            <w:tcBorders>
              <w:top w:val="single" w:sz="4" w:space="0" w:color="auto"/>
              <w:left w:val="single" w:sz="4" w:space="0" w:color="auto"/>
              <w:right w:val="single" w:sz="4" w:space="0" w:color="auto"/>
            </w:tcBorders>
            <w:vAlign w:val="center"/>
          </w:tcPr>
          <w:p w:rsidR="001C5620" w:rsidRPr="000B386B" w:rsidRDefault="001C5620" w:rsidP="00C129AB">
            <w:pPr>
              <w:spacing w:line="240" w:lineRule="exact"/>
              <w:jc w:val="center"/>
              <w:rPr>
                <w:rFonts w:ascii="宋体" w:cs="Times New Roman"/>
                <w:kern w:val="0"/>
                <w:sz w:val="20"/>
                <w:szCs w:val="20"/>
              </w:rPr>
            </w:pPr>
            <w:r w:rsidRPr="000B386B">
              <w:rPr>
                <w:rFonts w:ascii="宋体" w:cs="Times New Roman" w:hint="eastAsia"/>
                <w:kern w:val="0"/>
                <w:sz w:val="20"/>
                <w:szCs w:val="20"/>
              </w:rPr>
              <w:t>专利纠纷相关调解</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sidRPr="00D97760">
              <w:rPr>
                <w:rFonts w:ascii="宋体" w:cs="Times New Roman" w:hint="eastAsia"/>
                <w:kern w:val="0"/>
                <w:sz w:val="20"/>
                <w:szCs w:val="20"/>
              </w:rPr>
              <w:t>1.对专利侵权纠纷案件的调解</w:t>
            </w:r>
          </w:p>
        </w:tc>
        <w:tc>
          <w:tcPr>
            <w:tcW w:w="8505" w:type="dxa"/>
            <w:tcBorders>
              <w:top w:val="single" w:sz="4" w:space="0" w:color="auto"/>
              <w:left w:val="single" w:sz="4" w:space="0" w:color="auto"/>
              <w:bottom w:val="single" w:sz="4" w:space="0" w:color="auto"/>
              <w:right w:val="single" w:sz="4" w:space="0" w:color="auto"/>
            </w:tcBorders>
            <w:vAlign w:val="center"/>
          </w:tcPr>
          <w:p w:rsidR="001C5620" w:rsidRPr="00D97760" w:rsidRDefault="001C5620" w:rsidP="00C129AB">
            <w:pPr>
              <w:widowControl/>
              <w:spacing w:line="240" w:lineRule="exact"/>
              <w:rPr>
                <w:rFonts w:ascii="宋体" w:cs="Times New Roman"/>
                <w:kern w:val="0"/>
                <w:sz w:val="20"/>
                <w:szCs w:val="20"/>
              </w:rPr>
            </w:pPr>
            <w:r w:rsidRPr="00D97760">
              <w:rPr>
                <w:rFonts w:ascii="宋体" w:cs="Times New Roman" w:hint="eastAsia"/>
                <w:kern w:val="0"/>
                <w:sz w:val="20"/>
                <w:szCs w:val="20"/>
              </w:rPr>
              <w:t>【法律】《中华人民共和国专利法》（2008年12月27日中华人民共和国主席令第八号公布，自2009年10月1日起施行）第六十条：未经专利权人许可，实施其专利，即侵犯其专利权，引起纠纷的，由当事人协商解决；不愿协商或者协商不成的，专利权人或者利害关系人可以向人民法院起诉，也可以请求管理专利工作的部门处理。……进行处理的管理专利工作的部门应当事人的请求，可以就侵犯专利权的赔偿数额进行调解；调解不成的，当事人可以依照《中华人民共和国民事诉讼法》向人民法院起诉。</w:t>
            </w:r>
          </w:p>
          <w:p w:rsidR="001C5620" w:rsidRPr="00D97760" w:rsidRDefault="001C5620" w:rsidP="00C129AB">
            <w:pPr>
              <w:widowControl/>
              <w:spacing w:line="240" w:lineRule="exact"/>
              <w:rPr>
                <w:rFonts w:ascii="宋体" w:cs="Times New Roman"/>
                <w:kern w:val="0"/>
                <w:sz w:val="20"/>
                <w:szCs w:val="20"/>
              </w:rPr>
            </w:pPr>
            <w:r w:rsidRPr="00D97760">
              <w:rPr>
                <w:rFonts w:ascii="宋体" w:cs="Times New Roman" w:hint="eastAsia"/>
                <w:kern w:val="0"/>
                <w:sz w:val="20"/>
                <w:szCs w:val="20"/>
              </w:rPr>
              <w:t>【行政法规】《中华人民共和国专利法实施细则》（2001年6月15日中华人民共和国国务院令第306号公布，根据2010年1月9日《国务院关于修改〈中华人民共和国专利法实施细则〉的决定》第二次修订，自2010年2月1日起施行）第七十九条：专利法和本细则所称管理专利工作的部门，是指由省、自治区、直辖市人民政府以及专利管理工作量大又有实际处理能力的设区的市人民政府设立的管理专利工作的部门。</w:t>
            </w:r>
          </w:p>
          <w:p w:rsidR="001C5620" w:rsidRPr="006B7A00" w:rsidRDefault="001C5620" w:rsidP="00C129AB">
            <w:pPr>
              <w:widowControl/>
              <w:spacing w:line="240" w:lineRule="exact"/>
              <w:rPr>
                <w:rFonts w:ascii="宋体" w:cs="Times New Roman"/>
                <w:kern w:val="0"/>
                <w:sz w:val="20"/>
                <w:szCs w:val="20"/>
              </w:rPr>
            </w:pPr>
            <w:r w:rsidRPr="00D97760">
              <w:rPr>
                <w:rFonts w:ascii="宋体" w:cs="Times New Roman" w:hint="eastAsia"/>
                <w:kern w:val="0"/>
                <w:sz w:val="20"/>
                <w:szCs w:val="20"/>
              </w:rPr>
              <w:t>【地方性法规】《广西壮族自治区专利条例》（2012年7月26日广西壮族自治区第十一届人民代表大会常务委员会第二十九次会议修订通过公布，自2012年9月1日起施行）第二十条第二款：……专利管理部门在</w:t>
            </w:r>
            <w:proofErr w:type="gramStart"/>
            <w:r w:rsidRPr="00D97760">
              <w:rPr>
                <w:rFonts w:ascii="宋体" w:cs="Times New Roman" w:hint="eastAsia"/>
                <w:kern w:val="0"/>
                <w:sz w:val="20"/>
                <w:szCs w:val="20"/>
              </w:rPr>
              <w:t>作出</w:t>
            </w:r>
            <w:proofErr w:type="gramEnd"/>
            <w:r w:rsidRPr="00D97760">
              <w:rPr>
                <w:rFonts w:ascii="宋体" w:cs="Times New Roman" w:hint="eastAsia"/>
                <w:kern w:val="0"/>
                <w:sz w:val="20"/>
                <w:szCs w:val="20"/>
              </w:rPr>
              <w:t>处理决定前，应当先行调解。</w:t>
            </w:r>
          </w:p>
        </w:tc>
        <w:tc>
          <w:tcPr>
            <w:tcW w:w="850"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sidRPr="00D97760">
              <w:rPr>
                <w:rFonts w:ascii="宋体" w:cs="Times New Roman" w:hint="eastAsia"/>
                <w:kern w:val="0"/>
                <w:sz w:val="20"/>
                <w:szCs w:val="20"/>
              </w:rPr>
              <w:t>知识产权科</w:t>
            </w:r>
          </w:p>
        </w:tc>
        <w:tc>
          <w:tcPr>
            <w:tcW w:w="735"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r>
      <w:tr w:rsidR="001C5620" w:rsidRPr="006B7A00" w:rsidTr="00C129AB">
        <w:trPr>
          <w:trHeight w:val="618"/>
          <w:jc w:val="center"/>
        </w:trPr>
        <w:tc>
          <w:tcPr>
            <w:tcW w:w="766" w:type="dxa"/>
            <w:vMerge/>
            <w:tcBorders>
              <w:left w:val="single" w:sz="4" w:space="0" w:color="auto"/>
              <w:bottom w:val="single" w:sz="4" w:space="0" w:color="auto"/>
              <w:right w:val="single" w:sz="4" w:space="0" w:color="auto"/>
            </w:tcBorders>
            <w:vAlign w:val="center"/>
          </w:tcPr>
          <w:p w:rsidR="001C5620" w:rsidRPr="000B386B" w:rsidRDefault="001C5620" w:rsidP="00C129AB">
            <w:pPr>
              <w:widowControl/>
              <w:spacing w:line="240" w:lineRule="exact"/>
              <w:jc w:val="center"/>
              <w:rPr>
                <w:rFonts w:ascii="宋体" w:cs="Times New Roman"/>
                <w:kern w:val="0"/>
                <w:sz w:val="20"/>
                <w:szCs w:val="20"/>
              </w:rPr>
            </w:pPr>
          </w:p>
        </w:tc>
        <w:tc>
          <w:tcPr>
            <w:tcW w:w="1276" w:type="dxa"/>
            <w:vMerge/>
            <w:tcBorders>
              <w:left w:val="single" w:sz="4" w:space="0" w:color="auto"/>
              <w:bottom w:val="single" w:sz="4" w:space="0" w:color="auto"/>
              <w:right w:val="single" w:sz="4" w:space="0" w:color="auto"/>
            </w:tcBorders>
            <w:vAlign w:val="center"/>
          </w:tcPr>
          <w:p w:rsidR="001C5620" w:rsidRPr="000B386B" w:rsidRDefault="001C5620" w:rsidP="00C129AB">
            <w:pPr>
              <w:widowControl/>
              <w:spacing w:line="240" w:lineRule="exact"/>
              <w:jc w:val="center"/>
              <w:rPr>
                <w:rFonts w:ascii="宋体" w:cs="Times New Roman"/>
                <w:kern w:val="0"/>
                <w:sz w:val="20"/>
                <w:szCs w:val="20"/>
              </w:rPr>
            </w:pPr>
          </w:p>
        </w:tc>
        <w:tc>
          <w:tcPr>
            <w:tcW w:w="1276" w:type="dxa"/>
            <w:vMerge/>
            <w:tcBorders>
              <w:left w:val="single" w:sz="4" w:space="0" w:color="auto"/>
              <w:bottom w:val="single" w:sz="4" w:space="0" w:color="auto"/>
              <w:right w:val="single" w:sz="4" w:space="0" w:color="auto"/>
            </w:tcBorders>
            <w:vAlign w:val="center"/>
          </w:tcPr>
          <w:p w:rsidR="001C5620" w:rsidRPr="000B386B" w:rsidRDefault="001C5620" w:rsidP="00C129AB">
            <w:pPr>
              <w:widowControl/>
              <w:spacing w:line="240" w:lineRule="exact"/>
              <w:jc w:val="center"/>
              <w:rPr>
                <w:rFonts w:ascii="宋体" w:cs="Times New Roman"/>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sidRPr="00D97760">
              <w:rPr>
                <w:rFonts w:ascii="宋体" w:cs="Times New Roman" w:hint="eastAsia"/>
                <w:kern w:val="0"/>
                <w:sz w:val="20"/>
                <w:szCs w:val="20"/>
              </w:rPr>
              <w:t>2.其他专利纠纷的调解</w:t>
            </w:r>
          </w:p>
        </w:tc>
        <w:tc>
          <w:tcPr>
            <w:tcW w:w="8505"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sidRPr="00D97760">
              <w:rPr>
                <w:rFonts w:ascii="宋体" w:cs="Times New Roman" w:hint="eastAsia"/>
                <w:kern w:val="0"/>
                <w:sz w:val="20"/>
                <w:szCs w:val="20"/>
              </w:rPr>
              <w:t>【行政法规】《中华人民共和国专利法实施细则》（2001年6月15日中华人民共和国国务院令第306号公布，根据2010年1月9日《国务院关于修改〈中华人民共和国专利法实施细则〉的决定》第二次修订，自2010年2月1日起施行）第七十九条：专利法和本细则所称管理专利工作的部门，是指由省、自治区、直辖市人民政府以及专利管理工作量大又有实际处理能力的设区的市人民政府设立的管理专利工作的部门。　第八十五条：除专利法第六十条规定的外，管理专利工作的部门应当事人请求，可以对下列专利纠纷进行调解： （一）专利申请权和专利权归属纠纷； （二）发明人、设计人资格纠纷；（三）职务发明创造的发明人、设计人的奖励和报酬纠纷；（四）在发明专利申请公布后专利权授予前使用发明而未支付适当费用的纠纷；（五）其他专利纠纷。对于前款第（四）项所列的纠纷，当事人请求管理专利工作的部门调解的，应当在专利权被授予之后提出。</w:t>
            </w:r>
          </w:p>
        </w:tc>
        <w:tc>
          <w:tcPr>
            <w:tcW w:w="850"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sidRPr="00D97760">
              <w:rPr>
                <w:rFonts w:ascii="宋体" w:cs="Times New Roman" w:hint="eastAsia"/>
                <w:kern w:val="0"/>
                <w:sz w:val="20"/>
                <w:szCs w:val="20"/>
              </w:rPr>
              <w:t>知识产权科</w:t>
            </w:r>
          </w:p>
        </w:tc>
        <w:tc>
          <w:tcPr>
            <w:tcW w:w="735"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r>
      <w:tr w:rsidR="001C5620" w:rsidRPr="006B7A00" w:rsidTr="00C129AB">
        <w:trPr>
          <w:trHeight w:val="618"/>
          <w:jc w:val="center"/>
        </w:trPr>
        <w:tc>
          <w:tcPr>
            <w:tcW w:w="766" w:type="dxa"/>
            <w:tcBorders>
              <w:top w:val="single" w:sz="4" w:space="0" w:color="auto"/>
              <w:left w:val="single" w:sz="4" w:space="0" w:color="auto"/>
              <w:bottom w:val="single" w:sz="4" w:space="0" w:color="auto"/>
              <w:right w:val="single" w:sz="4" w:space="0" w:color="auto"/>
            </w:tcBorders>
            <w:vAlign w:val="center"/>
          </w:tcPr>
          <w:p w:rsidR="001C5620" w:rsidRPr="000B386B" w:rsidRDefault="001C5620" w:rsidP="00C129AB">
            <w:pPr>
              <w:widowControl/>
              <w:spacing w:line="240" w:lineRule="exact"/>
              <w:jc w:val="center"/>
              <w:rPr>
                <w:rFonts w:ascii="宋体" w:cs="Times New Roman"/>
                <w:kern w:val="0"/>
                <w:sz w:val="20"/>
                <w:szCs w:val="20"/>
              </w:rPr>
            </w:pPr>
            <w:r>
              <w:rPr>
                <w:rFonts w:ascii="宋体" w:cs="Times New Roman" w:hint="eastAsia"/>
                <w:kern w:val="0"/>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0B386B" w:rsidRDefault="001C5620" w:rsidP="00C129AB">
            <w:pPr>
              <w:widowControl/>
              <w:spacing w:line="240" w:lineRule="exact"/>
              <w:jc w:val="center"/>
              <w:rPr>
                <w:rFonts w:ascii="宋体" w:cs="Times New Roman"/>
                <w:kern w:val="0"/>
                <w:sz w:val="20"/>
                <w:szCs w:val="20"/>
              </w:rPr>
            </w:pPr>
            <w:r w:rsidRPr="000B386B">
              <w:rPr>
                <w:rFonts w:ascii="宋体" w:cs="Times New Roman" w:hint="eastAsia"/>
                <w:kern w:val="0"/>
                <w:sz w:val="20"/>
                <w:szCs w:val="20"/>
              </w:rPr>
              <w:t>其他行政权力</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0B386B" w:rsidRDefault="001C5620" w:rsidP="00C129AB">
            <w:pPr>
              <w:widowControl/>
              <w:spacing w:line="240" w:lineRule="exact"/>
              <w:jc w:val="center"/>
              <w:rPr>
                <w:rFonts w:ascii="宋体" w:cs="Times New Roman"/>
                <w:kern w:val="0"/>
                <w:sz w:val="20"/>
                <w:szCs w:val="20"/>
              </w:rPr>
            </w:pPr>
            <w:r w:rsidRPr="000B386B">
              <w:rPr>
                <w:rFonts w:ascii="宋体" w:cs="Times New Roman" w:hint="eastAsia"/>
                <w:kern w:val="0"/>
                <w:sz w:val="20"/>
                <w:szCs w:val="20"/>
              </w:rPr>
              <w:t>科技成果登记</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c>
          <w:tcPr>
            <w:tcW w:w="8505"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sidRPr="00D97760">
              <w:rPr>
                <w:rFonts w:ascii="宋体" w:cs="Times New Roman" w:hint="eastAsia"/>
                <w:kern w:val="0"/>
                <w:sz w:val="20"/>
                <w:szCs w:val="20"/>
              </w:rPr>
              <w:t>【规范性文件】广西壮族自治区科技成果登记实施细则（修订）第二条 自治区科学技术行政主管部门负责全区的科技成果登记管理工作，开展指定科技成果登记信息公开平台的日常建设和维护。自治区有关业务主管部门、设区市科学技术行政主管部门协助做好本部门、本地区的科技成</w:t>
            </w:r>
            <w:r w:rsidRPr="00D97760">
              <w:rPr>
                <w:rFonts w:ascii="宋体" w:cs="Times New Roman" w:hint="eastAsia"/>
                <w:kern w:val="0"/>
                <w:sz w:val="20"/>
                <w:szCs w:val="20"/>
              </w:rPr>
              <w:lastRenderedPageBreak/>
              <w:t>果登记工作。</w:t>
            </w:r>
          </w:p>
        </w:tc>
        <w:tc>
          <w:tcPr>
            <w:tcW w:w="850"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Pr>
                <w:rFonts w:ascii="宋体" w:cs="Times New Roman" w:hint="eastAsia"/>
                <w:kern w:val="0"/>
                <w:sz w:val="20"/>
                <w:szCs w:val="20"/>
              </w:rPr>
              <w:lastRenderedPageBreak/>
              <w:t>科技合作与成果管理</w:t>
            </w:r>
            <w:r>
              <w:rPr>
                <w:rFonts w:ascii="宋体" w:cs="Times New Roman" w:hint="eastAsia"/>
                <w:kern w:val="0"/>
                <w:sz w:val="20"/>
                <w:szCs w:val="20"/>
              </w:rPr>
              <w:lastRenderedPageBreak/>
              <w:t>科</w:t>
            </w:r>
          </w:p>
        </w:tc>
        <w:tc>
          <w:tcPr>
            <w:tcW w:w="735"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r>
      <w:tr w:rsidR="001C5620" w:rsidRPr="006B7A00" w:rsidTr="00C129AB">
        <w:trPr>
          <w:trHeight w:val="618"/>
          <w:jc w:val="center"/>
        </w:trPr>
        <w:tc>
          <w:tcPr>
            <w:tcW w:w="766" w:type="dxa"/>
            <w:tcBorders>
              <w:top w:val="single" w:sz="4" w:space="0" w:color="auto"/>
              <w:left w:val="single" w:sz="4" w:space="0" w:color="auto"/>
              <w:bottom w:val="single" w:sz="4" w:space="0" w:color="auto"/>
              <w:right w:val="single" w:sz="4" w:space="0" w:color="auto"/>
            </w:tcBorders>
            <w:vAlign w:val="center"/>
          </w:tcPr>
          <w:p w:rsidR="001C5620" w:rsidRPr="000B386B" w:rsidRDefault="001C5620" w:rsidP="00C129AB">
            <w:pPr>
              <w:widowControl/>
              <w:spacing w:line="240" w:lineRule="exact"/>
              <w:jc w:val="center"/>
              <w:rPr>
                <w:rFonts w:ascii="宋体" w:cs="Times New Roman"/>
                <w:kern w:val="0"/>
                <w:sz w:val="20"/>
                <w:szCs w:val="20"/>
              </w:rPr>
            </w:pPr>
            <w:r>
              <w:rPr>
                <w:rFonts w:ascii="宋体" w:cs="Times New Roman" w:hint="eastAsia"/>
                <w:kern w:val="0"/>
                <w:sz w:val="20"/>
                <w:szCs w:val="20"/>
              </w:rPr>
              <w:lastRenderedPageBreak/>
              <w:t>3</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0B386B" w:rsidRDefault="001C5620" w:rsidP="00C129AB">
            <w:pPr>
              <w:widowControl/>
              <w:spacing w:line="240" w:lineRule="exact"/>
              <w:jc w:val="center"/>
              <w:rPr>
                <w:rFonts w:ascii="宋体" w:cs="Times New Roman"/>
                <w:kern w:val="0"/>
                <w:sz w:val="20"/>
                <w:szCs w:val="20"/>
              </w:rPr>
            </w:pPr>
            <w:r w:rsidRPr="000B386B">
              <w:rPr>
                <w:rFonts w:ascii="宋体" w:cs="Times New Roman" w:hint="eastAsia"/>
                <w:kern w:val="0"/>
                <w:sz w:val="20"/>
                <w:szCs w:val="20"/>
              </w:rPr>
              <w:t>其他行政权力</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0B386B" w:rsidRDefault="001C5620" w:rsidP="00C129AB">
            <w:pPr>
              <w:widowControl/>
              <w:spacing w:line="240" w:lineRule="exact"/>
              <w:jc w:val="center"/>
              <w:rPr>
                <w:rFonts w:ascii="宋体" w:cs="Times New Roman"/>
                <w:kern w:val="0"/>
                <w:sz w:val="20"/>
                <w:szCs w:val="20"/>
              </w:rPr>
            </w:pPr>
            <w:r w:rsidRPr="000B386B">
              <w:rPr>
                <w:rFonts w:ascii="宋体" w:cs="Times New Roman" w:hint="eastAsia"/>
                <w:kern w:val="0"/>
                <w:sz w:val="20"/>
                <w:szCs w:val="20"/>
              </w:rPr>
              <w:t>柳州市科学技术奖评审的组织和管理</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c>
          <w:tcPr>
            <w:tcW w:w="8505"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sidRPr="00D97760">
              <w:rPr>
                <w:rFonts w:ascii="宋体" w:cs="Times New Roman" w:hint="eastAsia"/>
                <w:kern w:val="0"/>
                <w:sz w:val="20"/>
                <w:szCs w:val="20"/>
              </w:rPr>
              <w:t>【法律】《中华人民共和国科学技术进步法》（2007年12月29日中华人民共和国主席令第八十二号公布，自2008年7月1日起施行）第七十一条：违反本法规定，骗取国家科学技术奖励的，由主管部门依法撤销奖励，追回奖金，并依法给予处分。</w:t>
            </w:r>
            <w:proofErr w:type="gramStart"/>
            <w:r w:rsidRPr="00D97760">
              <w:rPr>
                <w:rFonts w:ascii="宋体" w:cs="Times New Roman" w:hint="eastAsia"/>
                <w:kern w:val="0"/>
                <w:sz w:val="20"/>
                <w:szCs w:val="20"/>
              </w:rPr>
              <w:t>柳政办</w:t>
            </w:r>
            <w:proofErr w:type="gramEnd"/>
            <w:r w:rsidRPr="00D97760">
              <w:rPr>
                <w:rFonts w:ascii="宋体" w:cs="Times New Roman" w:hint="eastAsia"/>
                <w:kern w:val="0"/>
                <w:sz w:val="20"/>
                <w:szCs w:val="20"/>
              </w:rPr>
              <w:t>〔2012〕234号《柳州市科学技术奖励办法》第七十三条　对通过剽窃、侵夺他人科学技术成果，弄虚作假或者其他不正当手段谋取柳州市科学技术奖的单位和个人，尚未授奖的，由奖励办公室取消其当年获奖资格；已经授奖的，经奖励委员会审核，由柳州市科学技术局报市人民政府批准后撤销奖励，追回奖金，并公开通报。同时，建议其所在单位或主管部门给予相应的处分。第七十四条　推荐单位提供虚假数据、材料，协助被推荐单位和个人骗取柳州市科学技术奖的，由柳州市科学技术局给予通报批评；情节严重的，暂停或者取消其推荐资格；对负有直接责任的主管人员和其他直接责任人员，建议其所在单位或主管部门依法给予相应的处分。</w:t>
            </w:r>
          </w:p>
        </w:tc>
        <w:tc>
          <w:tcPr>
            <w:tcW w:w="850"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Pr>
                <w:rFonts w:ascii="宋体" w:cs="Times New Roman" w:hint="eastAsia"/>
                <w:kern w:val="0"/>
                <w:sz w:val="20"/>
                <w:szCs w:val="20"/>
              </w:rPr>
              <w:t>科技合作与成果管理科</w:t>
            </w:r>
          </w:p>
        </w:tc>
        <w:tc>
          <w:tcPr>
            <w:tcW w:w="735"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r>
      <w:tr w:rsidR="001C5620" w:rsidRPr="006B7A00" w:rsidTr="00C129AB">
        <w:trPr>
          <w:trHeight w:val="618"/>
          <w:jc w:val="center"/>
        </w:trPr>
        <w:tc>
          <w:tcPr>
            <w:tcW w:w="766" w:type="dxa"/>
            <w:tcBorders>
              <w:top w:val="single" w:sz="4" w:space="0" w:color="auto"/>
              <w:left w:val="single" w:sz="4" w:space="0" w:color="auto"/>
              <w:bottom w:val="single" w:sz="4" w:space="0" w:color="auto"/>
              <w:right w:val="single" w:sz="4" w:space="0" w:color="auto"/>
            </w:tcBorders>
            <w:vAlign w:val="center"/>
          </w:tcPr>
          <w:p w:rsidR="001C5620" w:rsidRPr="000B386B" w:rsidRDefault="001C5620" w:rsidP="00C129AB">
            <w:pPr>
              <w:widowControl/>
              <w:spacing w:line="240" w:lineRule="exact"/>
              <w:jc w:val="center"/>
              <w:rPr>
                <w:rFonts w:ascii="宋体" w:cs="Times New Roman"/>
                <w:kern w:val="0"/>
                <w:sz w:val="20"/>
                <w:szCs w:val="20"/>
              </w:rPr>
            </w:pPr>
            <w:r>
              <w:rPr>
                <w:rFonts w:ascii="宋体" w:cs="Times New Roman" w:hint="eastAsia"/>
                <w:kern w:val="0"/>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0B386B" w:rsidRDefault="001C5620" w:rsidP="00C129AB">
            <w:pPr>
              <w:widowControl/>
              <w:spacing w:line="240" w:lineRule="exact"/>
              <w:jc w:val="center"/>
              <w:rPr>
                <w:rFonts w:ascii="宋体" w:cs="Times New Roman"/>
                <w:kern w:val="0"/>
                <w:sz w:val="20"/>
                <w:szCs w:val="20"/>
              </w:rPr>
            </w:pPr>
            <w:r w:rsidRPr="000B386B">
              <w:rPr>
                <w:rFonts w:ascii="宋体" w:cs="Times New Roman" w:hint="eastAsia"/>
                <w:kern w:val="0"/>
                <w:sz w:val="20"/>
                <w:szCs w:val="20"/>
              </w:rPr>
              <w:t>其他行政权力</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0B386B" w:rsidRDefault="001C5620" w:rsidP="00C129AB">
            <w:pPr>
              <w:widowControl/>
              <w:spacing w:line="240" w:lineRule="exact"/>
              <w:jc w:val="center"/>
              <w:rPr>
                <w:rFonts w:ascii="宋体" w:cs="Times New Roman"/>
                <w:kern w:val="0"/>
                <w:sz w:val="20"/>
                <w:szCs w:val="20"/>
              </w:rPr>
            </w:pPr>
            <w:r w:rsidRPr="000B386B">
              <w:rPr>
                <w:rFonts w:ascii="宋体" w:cs="Times New Roman" w:hint="eastAsia"/>
                <w:kern w:val="0"/>
                <w:sz w:val="20"/>
                <w:szCs w:val="20"/>
              </w:rPr>
              <w:t>对不具备规定条件的技术贸易机构行为的责令限期改正</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c>
          <w:tcPr>
            <w:tcW w:w="8505"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sidRPr="00D97760">
              <w:rPr>
                <w:rFonts w:ascii="宋体" w:cs="Times New Roman" w:hint="eastAsia"/>
                <w:kern w:val="0"/>
                <w:sz w:val="20"/>
                <w:szCs w:val="20"/>
              </w:rPr>
              <w:t>《广西壮族自治区技术市场管理条例》（1995年7月29日广西壮族自治区第八届人民代表大会常务委员会第十六次会议通过，2004年7月31日第三次修正）第九条　设立以促进技术成果商品化为目的，主要从事技术开发、技术转让、技术咨询、技术服务、技术入股、技术承包等业务的技术贸易机构，除具备设立企业应当具备的登记条件外，还应当具备以下条件：（一）与其从事的技术贸易业务相适应的专职专业技术人员应当占本机构职工总数百分之三十以上，对贫困地区，专业技术人员比例的要求可适当降低；第三十八条　对不具备本条例第九条第一款规定条件的技术贸易机构，技术市场主管机关有权责令其限期改正，仍达不到规定条件的，不得享受国家和自治区有关技术贸易的优惠政策。</w:t>
            </w:r>
          </w:p>
        </w:tc>
        <w:tc>
          <w:tcPr>
            <w:tcW w:w="850"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r>
              <w:rPr>
                <w:rFonts w:ascii="宋体" w:cs="Times New Roman" w:hint="eastAsia"/>
                <w:kern w:val="0"/>
                <w:sz w:val="20"/>
                <w:szCs w:val="20"/>
              </w:rPr>
              <w:t>科技合作与成果管理科</w:t>
            </w:r>
          </w:p>
        </w:tc>
        <w:tc>
          <w:tcPr>
            <w:tcW w:w="735"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r>
      <w:tr w:rsidR="001C5620" w:rsidRPr="006B7A00" w:rsidTr="00C129AB">
        <w:trPr>
          <w:trHeight w:val="618"/>
          <w:jc w:val="center"/>
        </w:trPr>
        <w:tc>
          <w:tcPr>
            <w:tcW w:w="766" w:type="dxa"/>
            <w:tcBorders>
              <w:top w:val="single" w:sz="4" w:space="0" w:color="auto"/>
              <w:left w:val="single" w:sz="4" w:space="0" w:color="auto"/>
              <w:bottom w:val="single" w:sz="4" w:space="0" w:color="auto"/>
              <w:right w:val="single" w:sz="4" w:space="0" w:color="auto"/>
            </w:tcBorders>
            <w:vAlign w:val="center"/>
          </w:tcPr>
          <w:p w:rsidR="001C5620" w:rsidRPr="000B386B" w:rsidRDefault="001C5620" w:rsidP="00C129AB">
            <w:pPr>
              <w:widowControl/>
              <w:spacing w:line="240" w:lineRule="exact"/>
              <w:jc w:val="center"/>
              <w:rPr>
                <w:rFonts w:ascii="宋体" w:cs="Times New Roman"/>
                <w:kern w:val="0"/>
                <w:sz w:val="20"/>
                <w:szCs w:val="20"/>
              </w:rPr>
            </w:pPr>
            <w:r>
              <w:rPr>
                <w:rFonts w:ascii="宋体" w:cs="Times New Roman" w:hint="eastAsia"/>
                <w:kern w:val="0"/>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0B386B" w:rsidRDefault="001C5620" w:rsidP="00C129AB">
            <w:pPr>
              <w:widowControl/>
              <w:spacing w:line="240" w:lineRule="exact"/>
              <w:jc w:val="center"/>
              <w:rPr>
                <w:rFonts w:ascii="宋体" w:cs="Times New Roman"/>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4A2B19" w:rsidRDefault="001C5620" w:rsidP="00C129AB">
            <w:pPr>
              <w:spacing w:line="240" w:lineRule="auto"/>
              <w:jc w:val="left"/>
              <w:rPr>
                <w:rFonts w:ascii="宋体" w:cs="Times New Roman"/>
                <w:kern w:val="0"/>
                <w:sz w:val="20"/>
                <w:szCs w:val="20"/>
              </w:rPr>
            </w:pPr>
            <w:r w:rsidRPr="004A2B19">
              <w:rPr>
                <w:rFonts w:ascii="宋体" w:cs="Times New Roman" w:hint="eastAsia"/>
                <w:kern w:val="0"/>
                <w:sz w:val="20"/>
                <w:szCs w:val="20"/>
              </w:rPr>
              <w:t>对骗取科学技术奖的处理</w:t>
            </w:r>
          </w:p>
        </w:tc>
        <w:tc>
          <w:tcPr>
            <w:tcW w:w="1276"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c>
          <w:tcPr>
            <w:tcW w:w="8505" w:type="dxa"/>
            <w:tcBorders>
              <w:top w:val="single" w:sz="4" w:space="0" w:color="auto"/>
              <w:left w:val="single" w:sz="4" w:space="0" w:color="auto"/>
              <w:bottom w:val="single" w:sz="4" w:space="0" w:color="auto"/>
              <w:right w:val="single" w:sz="4" w:space="0" w:color="auto"/>
            </w:tcBorders>
            <w:vAlign w:val="center"/>
          </w:tcPr>
          <w:p w:rsidR="001C5620" w:rsidRPr="00D97760" w:rsidRDefault="001C5620" w:rsidP="00C129AB">
            <w:pPr>
              <w:widowControl/>
              <w:spacing w:line="240" w:lineRule="exact"/>
              <w:rPr>
                <w:rFonts w:ascii="宋体" w:cs="Times New Roman"/>
                <w:kern w:val="0"/>
                <w:sz w:val="20"/>
                <w:szCs w:val="20"/>
              </w:rPr>
            </w:pPr>
            <w:r w:rsidRPr="004A2B19">
              <w:rPr>
                <w:rFonts w:ascii="宋体" w:cs="Times New Roman" w:hint="eastAsia"/>
                <w:kern w:val="0"/>
                <w:sz w:val="20"/>
                <w:szCs w:val="20"/>
              </w:rPr>
              <w:t>【法律】《中华人民共和国科学技术进步法》（2007年12月29日中华人民共和国主席令第八十二号公布，自2008年7月1日起施行）第七十一条：违反本法规定，骗取国家科学技术奖励的，由主管部门依法撤销奖励，追回奖金，并依法给予处分。</w:t>
            </w:r>
            <w:proofErr w:type="gramStart"/>
            <w:r w:rsidRPr="004A2B19">
              <w:rPr>
                <w:rFonts w:ascii="宋体" w:cs="Times New Roman" w:hint="eastAsia"/>
                <w:kern w:val="0"/>
                <w:sz w:val="20"/>
                <w:szCs w:val="20"/>
              </w:rPr>
              <w:t>柳政办</w:t>
            </w:r>
            <w:proofErr w:type="gramEnd"/>
            <w:r w:rsidRPr="004A2B19">
              <w:rPr>
                <w:rFonts w:ascii="宋体" w:cs="Times New Roman" w:hint="eastAsia"/>
                <w:kern w:val="0"/>
                <w:sz w:val="20"/>
                <w:szCs w:val="20"/>
              </w:rPr>
              <w:t>〔2012〕234号《柳州市科学技术奖励办法》第七十三条　对通过剽窃、侵夺他人科学技术成果，弄虚作假或者其他不正当手段谋取柳州市科学技术奖的单位和个人，尚未授奖的，由奖励办公室取消其当年获奖资格；已经授奖的，经奖励委员会审核，由柳州市科学技术局报市人民政府批准后撤销奖励，追回奖金，并公开通报。同时，建议其所在单位或主管部门给予相应的处分。第七十四条　推荐单位提供虚假数据、材料，协助被推荐单位和个人骗取柳州市科学技术奖的，由柳州市科学技术局给予通报批评；情节严重的，暂停或者取消其推荐资格；对负有直接责任的主管人员和其他直接责任人员，建议</w:t>
            </w:r>
            <w:r w:rsidRPr="004A2B19">
              <w:rPr>
                <w:rFonts w:ascii="宋体" w:cs="Times New Roman" w:hint="eastAsia"/>
                <w:kern w:val="0"/>
                <w:sz w:val="20"/>
                <w:szCs w:val="20"/>
              </w:rPr>
              <w:lastRenderedPageBreak/>
              <w:t>其所在单位或主管部门依法给予相应的处分。</w:t>
            </w:r>
          </w:p>
        </w:tc>
        <w:tc>
          <w:tcPr>
            <w:tcW w:w="850" w:type="dxa"/>
            <w:tcBorders>
              <w:top w:val="single" w:sz="4" w:space="0" w:color="auto"/>
              <w:left w:val="single" w:sz="4" w:space="0" w:color="auto"/>
              <w:bottom w:val="single" w:sz="4" w:space="0" w:color="auto"/>
              <w:right w:val="single" w:sz="4" w:space="0" w:color="auto"/>
            </w:tcBorders>
            <w:vAlign w:val="center"/>
          </w:tcPr>
          <w:p w:rsidR="001C5620" w:rsidRDefault="001C5620" w:rsidP="00C129AB">
            <w:pPr>
              <w:widowControl/>
              <w:spacing w:line="240" w:lineRule="exact"/>
              <w:rPr>
                <w:rFonts w:ascii="宋体" w:cs="Times New Roman"/>
                <w:kern w:val="0"/>
                <w:sz w:val="20"/>
                <w:szCs w:val="20"/>
              </w:rPr>
            </w:pPr>
            <w:r>
              <w:rPr>
                <w:rFonts w:ascii="宋体" w:cs="Times New Roman" w:hint="eastAsia"/>
                <w:kern w:val="0"/>
                <w:sz w:val="20"/>
                <w:szCs w:val="20"/>
              </w:rPr>
              <w:lastRenderedPageBreak/>
              <w:t>科技合作与成果管理科</w:t>
            </w:r>
          </w:p>
        </w:tc>
        <w:tc>
          <w:tcPr>
            <w:tcW w:w="735" w:type="dxa"/>
            <w:tcBorders>
              <w:top w:val="single" w:sz="4" w:space="0" w:color="auto"/>
              <w:left w:val="single" w:sz="4" w:space="0" w:color="auto"/>
              <w:bottom w:val="single" w:sz="4" w:space="0" w:color="auto"/>
              <w:right w:val="single" w:sz="4" w:space="0" w:color="auto"/>
            </w:tcBorders>
            <w:vAlign w:val="center"/>
          </w:tcPr>
          <w:p w:rsidR="001C5620" w:rsidRPr="006B7A00" w:rsidRDefault="001C5620" w:rsidP="00C129AB">
            <w:pPr>
              <w:widowControl/>
              <w:spacing w:line="240" w:lineRule="exact"/>
              <w:rPr>
                <w:rFonts w:ascii="宋体" w:cs="Times New Roman"/>
                <w:kern w:val="0"/>
                <w:sz w:val="20"/>
                <w:szCs w:val="20"/>
              </w:rPr>
            </w:pPr>
          </w:p>
        </w:tc>
      </w:tr>
    </w:tbl>
    <w:p w:rsidR="001C5620" w:rsidRDefault="001C5620" w:rsidP="001C5620">
      <w:pPr>
        <w:spacing w:line="20" w:lineRule="exact"/>
        <w:jc w:val="left"/>
        <w:rPr>
          <w:rFonts w:ascii="方正小标宋简体" w:eastAsia="方正小标宋简体" w:cs="Times New Roman"/>
          <w:sz w:val="32"/>
          <w:szCs w:val="32"/>
        </w:rPr>
      </w:pPr>
    </w:p>
    <w:p w:rsidR="001C5620" w:rsidRDefault="001C5620" w:rsidP="001C5620">
      <w:pPr>
        <w:spacing w:line="20" w:lineRule="exact"/>
        <w:rPr>
          <w:rFonts w:cs="Times New Roman"/>
        </w:rPr>
      </w:pPr>
    </w:p>
    <w:p w:rsidR="001C5620" w:rsidRDefault="001C5620" w:rsidP="001C5620">
      <w:pPr>
        <w:jc w:val="left"/>
        <w:rPr>
          <w:rFonts w:ascii="仿宋_GB2312" w:eastAsia="仿宋_GB2312" w:cs="Times New Roman"/>
          <w:sz w:val="32"/>
          <w:szCs w:val="32"/>
        </w:rPr>
      </w:pPr>
    </w:p>
    <w:p w:rsidR="001C5620" w:rsidRDefault="001C5620" w:rsidP="001C5620">
      <w:pPr>
        <w:jc w:val="left"/>
        <w:rPr>
          <w:rFonts w:ascii="仿宋_GB2312" w:eastAsia="仿宋_GB2312" w:cs="Times New Roman"/>
          <w:sz w:val="32"/>
          <w:szCs w:val="32"/>
        </w:rPr>
      </w:pPr>
    </w:p>
    <w:p w:rsidR="001C5620" w:rsidRDefault="001C5620" w:rsidP="001C5620">
      <w:pPr>
        <w:jc w:val="left"/>
        <w:rPr>
          <w:rFonts w:ascii="仿宋_GB2312" w:eastAsia="仿宋_GB2312" w:cs="Times New Roman"/>
          <w:sz w:val="32"/>
          <w:szCs w:val="32"/>
        </w:rPr>
      </w:pPr>
    </w:p>
    <w:p w:rsidR="001C5620" w:rsidRDefault="001C5620" w:rsidP="001C5620">
      <w:pPr>
        <w:jc w:val="left"/>
        <w:rPr>
          <w:rFonts w:ascii="仿宋_GB2312" w:eastAsia="仿宋_GB2312" w:cs="Times New Roman"/>
          <w:sz w:val="32"/>
          <w:szCs w:val="32"/>
        </w:rPr>
      </w:pPr>
    </w:p>
    <w:p w:rsidR="001C5620" w:rsidRDefault="001C5620" w:rsidP="001C5620">
      <w:pPr>
        <w:jc w:val="left"/>
        <w:rPr>
          <w:rFonts w:ascii="仿宋_GB2312" w:eastAsia="仿宋_GB2312" w:cs="Times New Roman"/>
          <w:sz w:val="32"/>
          <w:szCs w:val="32"/>
        </w:rPr>
      </w:pPr>
    </w:p>
    <w:p w:rsidR="001C5620" w:rsidRDefault="001C5620" w:rsidP="001C5620">
      <w:pPr>
        <w:jc w:val="left"/>
        <w:rPr>
          <w:rFonts w:ascii="仿宋_GB2312" w:eastAsia="仿宋_GB2312" w:cs="Times New Roman"/>
          <w:sz w:val="32"/>
          <w:szCs w:val="32"/>
        </w:rPr>
      </w:pPr>
    </w:p>
    <w:p w:rsidR="0054465C" w:rsidRPr="001C5620" w:rsidRDefault="0054465C"/>
    <w:sectPr w:rsidR="0054465C" w:rsidRPr="001C5620" w:rsidSect="001C562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840" w:rsidRDefault="00DA1840" w:rsidP="001C5620">
      <w:pPr>
        <w:spacing w:line="240" w:lineRule="auto"/>
      </w:pPr>
      <w:r>
        <w:separator/>
      </w:r>
    </w:p>
  </w:endnote>
  <w:endnote w:type="continuationSeparator" w:id="0">
    <w:p w:rsidR="00DA1840" w:rsidRDefault="00DA1840" w:rsidP="001C5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840" w:rsidRDefault="00DA1840" w:rsidP="001C5620">
      <w:pPr>
        <w:spacing w:line="240" w:lineRule="auto"/>
      </w:pPr>
      <w:r>
        <w:separator/>
      </w:r>
    </w:p>
  </w:footnote>
  <w:footnote w:type="continuationSeparator" w:id="0">
    <w:p w:rsidR="00DA1840" w:rsidRDefault="00DA1840" w:rsidP="001C56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DF8"/>
    <w:rsid w:val="001C5620"/>
    <w:rsid w:val="0054465C"/>
    <w:rsid w:val="00B20DF8"/>
    <w:rsid w:val="00DA1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620"/>
    <w:pPr>
      <w:widowControl w:val="0"/>
      <w:spacing w:line="400" w:lineRule="exact"/>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620"/>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5620"/>
    <w:rPr>
      <w:sz w:val="18"/>
      <w:szCs w:val="18"/>
    </w:rPr>
  </w:style>
  <w:style w:type="paragraph" w:styleId="a4">
    <w:name w:val="footer"/>
    <w:basedOn w:val="a"/>
    <w:link w:val="Char0"/>
    <w:uiPriority w:val="99"/>
    <w:unhideWhenUsed/>
    <w:rsid w:val="001C5620"/>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56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620"/>
    <w:pPr>
      <w:widowControl w:val="0"/>
      <w:spacing w:line="400" w:lineRule="exact"/>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620"/>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5620"/>
    <w:rPr>
      <w:sz w:val="18"/>
      <w:szCs w:val="18"/>
    </w:rPr>
  </w:style>
  <w:style w:type="paragraph" w:styleId="a4">
    <w:name w:val="footer"/>
    <w:basedOn w:val="a"/>
    <w:link w:val="Char0"/>
    <w:uiPriority w:val="99"/>
    <w:unhideWhenUsed/>
    <w:rsid w:val="001C5620"/>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56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1046</Words>
  <Characters>5966</Characters>
  <Application>Microsoft Office Word</Application>
  <DocSecurity>0</DocSecurity>
  <Lines>49</Lines>
  <Paragraphs>13</Paragraphs>
  <ScaleCrop>false</ScaleCrop>
  <Company>WinXP</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2016-08-02T03:44:00Z</dcterms:created>
  <dcterms:modified xsi:type="dcterms:W3CDTF">2016-08-02T03:45:00Z</dcterms:modified>
</cp:coreProperties>
</file>