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E97B7">
      <w:pPr>
        <w:spacing w:line="56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附件</w:t>
      </w:r>
    </w:p>
    <w:p w14:paraId="54FAD8DE">
      <w:pPr>
        <w:spacing w:line="560" w:lineRule="exact"/>
        <w:jc w:val="center"/>
        <w:rPr>
          <w:rFonts w:hint="eastAsia" w:ascii="方正小标宋简体" w:hAnsi="方正小标宋简体" w:eastAsia="方正小标宋简体" w:cs="方正小标宋简体"/>
          <w:b w:val="0"/>
          <w:bCs w:val="0"/>
          <w:sz w:val="44"/>
          <w:szCs w:val="44"/>
        </w:rPr>
      </w:pPr>
    </w:p>
    <w:p w14:paraId="03DD2996">
      <w:pPr>
        <w:spacing w:line="560" w:lineRule="exact"/>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第十</w:t>
      </w:r>
      <w:r>
        <w:rPr>
          <w:rFonts w:hint="eastAsia" w:ascii="方正小标宋简体" w:hAnsi="方正小标宋简体" w:eastAsia="方正小标宋简体" w:cs="方正小标宋简体"/>
          <w:b w:val="0"/>
          <w:bCs w:val="0"/>
          <w:sz w:val="44"/>
          <w:szCs w:val="44"/>
          <w:lang w:val="en-US" w:eastAsia="zh-CN"/>
        </w:rPr>
        <w:t>三</w:t>
      </w:r>
      <w:r>
        <w:rPr>
          <w:rFonts w:hint="eastAsia" w:ascii="方正小标宋简体" w:hAnsi="方正小标宋简体" w:eastAsia="方正小标宋简体" w:cs="方正小标宋简体"/>
          <w:b w:val="0"/>
          <w:bCs w:val="0"/>
          <w:sz w:val="44"/>
          <w:szCs w:val="44"/>
        </w:rPr>
        <w:t>届中国创新创业大赛广西赛区</w:t>
      </w:r>
    </w:p>
    <w:p w14:paraId="444A8985">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柳州市选拔赛暨202</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年柳州市</w:t>
      </w:r>
    </w:p>
    <w:p w14:paraId="6A3B614B">
      <w:pPr>
        <w:spacing w:line="560" w:lineRule="exac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创新创业大赛工作方案</w:t>
      </w:r>
      <w:bookmarkEnd w:id="0"/>
    </w:p>
    <w:p w14:paraId="021F2F78">
      <w:pPr>
        <w:spacing w:line="560" w:lineRule="exact"/>
        <w:jc w:val="center"/>
        <w:rPr>
          <w:rFonts w:ascii="Times New Roman" w:hAnsi="Times New Roman" w:eastAsia="方正小标宋简体"/>
          <w:b/>
          <w:bCs/>
          <w:sz w:val="44"/>
          <w:szCs w:val="44"/>
        </w:rPr>
      </w:pPr>
    </w:p>
    <w:p w14:paraId="77BBFECE">
      <w:pPr>
        <w:spacing w:line="540" w:lineRule="exact"/>
        <w:ind w:firstLine="960" w:firstLineChars="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根据工业和信息化部火炬高技术产业开发中心《关于举办第十三届中国创新创业大赛的通知》（火炬〔2024〕8号）</w:t>
      </w:r>
      <w:r>
        <w:rPr>
          <w:rFonts w:hint="eastAsia" w:ascii="仿宋_GB2312" w:hAnsi="仿宋_GB2312" w:eastAsia="仿宋_GB2312" w:cs="仿宋_GB2312"/>
          <w:sz w:val="32"/>
          <w:szCs w:val="32"/>
          <w:lang w:val="en-US" w:eastAsia="zh-CN"/>
        </w:rPr>
        <w:t>文件要求</w:t>
      </w:r>
      <w:r>
        <w:rPr>
          <w:rFonts w:hint="eastAsia" w:ascii="仿宋_GB2312" w:hAnsi="仿宋_GB2312" w:eastAsia="仿宋_GB2312" w:cs="仿宋_GB2312"/>
          <w:sz w:val="32"/>
          <w:szCs w:val="32"/>
        </w:rPr>
        <w:t>，为组织好本次大赛工作，特制定工作方案如下：</w:t>
      </w:r>
    </w:p>
    <w:p w14:paraId="750B3983">
      <w:pPr>
        <w:numPr>
          <w:ilvl w:val="0"/>
          <w:numId w:val="1"/>
        </w:numPr>
        <w:spacing w:line="540" w:lineRule="exact"/>
        <w:ind w:left="640" w:leftChars="0" w:firstLine="0" w:firstLineChars="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大赛宗旨</w:t>
      </w:r>
    </w:p>
    <w:p w14:paraId="1B8B7F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遵循政府引导、公益支持、市场助力原则，围绕发展高科技、实现产业化、加快形成新质生产力，搭建“政、产、学、研、用、金、服、城”多向对接交流平台，发掘源头创新与早期项目，促进科技成果转化，优化创新创业生态，服务产业基础再造和重大关键核心技术攻关。</w:t>
      </w:r>
    </w:p>
    <w:p w14:paraId="5662F1E3">
      <w:pPr>
        <w:numPr>
          <w:ilvl w:val="0"/>
          <w:numId w:val="0"/>
        </w:num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大赛主题</w:t>
      </w:r>
    </w:p>
    <w:p w14:paraId="7901C28A">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因创而聚，向新同行</w:t>
      </w:r>
    </w:p>
    <w:p w14:paraId="30D1E05E">
      <w:pPr>
        <w:numPr>
          <w:ilvl w:val="0"/>
          <w:numId w:val="0"/>
        </w:numPr>
        <w:spacing w:line="540" w:lineRule="exact"/>
        <w:ind w:firstLine="640" w:firstLineChars="200"/>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rPr>
        <w:t>赛事总体安排</w:t>
      </w:r>
    </w:p>
    <w:p w14:paraId="45AA1C63">
      <w:pPr>
        <w:snapToGrid w:val="0"/>
        <w:spacing w:line="540" w:lineRule="exact"/>
        <w:ind w:firstLine="640"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举办广西赛区柳州市选拔赛，选拔出参加广西赛区产业复赛的项目，并设一二三等奖</w:t>
      </w:r>
      <w:r>
        <w:rPr>
          <w:rFonts w:hint="eastAsia" w:ascii="仿宋_GB2312" w:hAnsi="仿宋_GB2312" w:eastAsia="仿宋_GB2312" w:cs="仿宋_GB2312"/>
          <w:bCs/>
          <w:sz w:val="32"/>
          <w:szCs w:val="32"/>
          <w:lang w:val="en-US" w:eastAsia="zh-CN"/>
        </w:rPr>
        <w:t>。</w:t>
      </w:r>
    </w:p>
    <w:p w14:paraId="15E8D5A1">
      <w:pPr>
        <w:numPr>
          <w:ilvl w:val="0"/>
          <w:numId w:val="0"/>
        </w:num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大赛组织机构</w:t>
      </w:r>
    </w:p>
    <w:p w14:paraId="496A41A6">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（一）主办单位</w:t>
      </w:r>
    </w:p>
    <w:p w14:paraId="64A1BCF8">
      <w:pPr>
        <w:spacing w:line="54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sz w:val="32"/>
          <w:szCs w:val="32"/>
        </w:rPr>
        <w:t xml:space="preserve">柳州市科学技术局 </w:t>
      </w:r>
    </w:p>
    <w:p w14:paraId="5E1B8F1D">
      <w:pPr>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（二）承办单位</w:t>
      </w:r>
    </w:p>
    <w:p w14:paraId="3B22B860">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各县区、柳东新区（高新区）及北部生态新区（阳和工业新区）科技主管部门</w:t>
      </w:r>
    </w:p>
    <w:p w14:paraId="05D56FC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柳州市生产力促进中心</w:t>
      </w:r>
    </w:p>
    <w:p w14:paraId="60FDA27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柳州市智能制造科技服务中心</w:t>
      </w:r>
    </w:p>
    <w:p w14:paraId="30467945">
      <w:pPr>
        <w:spacing w:line="54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）支持单位</w:t>
      </w:r>
    </w:p>
    <w:p w14:paraId="7804060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各县</w:t>
      </w:r>
      <w:r>
        <w:rPr>
          <w:rFonts w:hint="eastAsia" w:ascii="仿宋_GB2312" w:hAnsi="仿宋_GB2312" w:eastAsia="仿宋_GB2312" w:cs="仿宋_GB2312"/>
          <w:sz w:val="32"/>
          <w:szCs w:val="32"/>
        </w:rPr>
        <w:t>区</w:t>
      </w:r>
      <w:r>
        <w:rPr>
          <w:rFonts w:hint="eastAsia" w:ascii="仿宋_GB2312" w:hAnsi="仿宋_GB2312" w:eastAsia="仿宋_GB2312" w:cs="仿宋_GB2312"/>
          <w:bCs/>
          <w:sz w:val="32"/>
          <w:szCs w:val="32"/>
        </w:rPr>
        <w:t>科技企业孵化器、众创空间，各创新创业基地和园区，各创业孵化基地，各现代服务业聚集区</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广西投资集团有限公司</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sz w:val="32"/>
          <w:szCs w:val="32"/>
        </w:rPr>
        <w:t>广西科技大学、柳州工学院、柳州职业技术学院、柳州城市职业学院、柳州铁道职业技术学院、广西生态工程职业技术学院</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14:paraId="43EEF981">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）大赛组委会</w:t>
      </w:r>
    </w:p>
    <w:p w14:paraId="32D53D1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立大赛组委会，负责本次大赛的组织领导。大赛组委会下设工作组，负责本次大赛各项赛事活动的统筹安排、组织协调、具体执行、社会宣传、技术保障等工作。组织协调组、专家协调组、媒体宣传组、赛事执行组、项目专职服务团队分别承担上述具体工作。</w:t>
      </w:r>
      <w:r>
        <w:rPr>
          <w:rFonts w:hint="eastAsia" w:ascii="仿宋_GB2312" w:hAnsi="仿宋_GB2312" w:eastAsia="仿宋_GB2312" w:cs="仿宋_GB2312"/>
          <w:sz w:val="32"/>
          <w:szCs w:val="32"/>
          <w:lang w:val="en-US" w:eastAsia="zh-CN"/>
        </w:rPr>
        <w:t>工作组</w:t>
      </w:r>
      <w:r>
        <w:rPr>
          <w:rFonts w:hint="eastAsia" w:ascii="仿宋_GB2312" w:hAnsi="仿宋_GB2312" w:eastAsia="仿宋_GB2312" w:cs="仿宋_GB2312"/>
          <w:sz w:val="32"/>
          <w:szCs w:val="32"/>
        </w:rPr>
        <w:t>设在柳州市科学技术局高新技术科。</w:t>
      </w:r>
    </w:p>
    <w:p w14:paraId="1979A35A">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）评审委员会</w:t>
      </w:r>
    </w:p>
    <w:p w14:paraId="50EAAF92">
      <w:pPr>
        <w:spacing w:line="54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大赛评选工作在公开、公平、公正原则下进行，大赛组委会特邀创投行业领军人士、知名创业企业家、青年创业导师、金融机构及行业著名专家组成大赛评审委员会。评审委员会对大赛组委会负责，并独立开展评审工作。</w:t>
      </w:r>
    </w:p>
    <w:p w14:paraId="721119B1">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参赛条件</w:t>
      </w:r>
    </w:p>
    <w:p w14:paraId="293EABAB">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）企业具有创新能力和高成长潜力，拥有知识产权且无产权纠纷，主要从事高新技术产品研发、制造、服务等业务。</w:t>
      </w:r>
    </w:p>
    <w:p w14:paraId="4F3D4291">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）企业经营规范、社会信誉良好、无不良记录，且为非上市企业。</w:t>
      </w:r>
    </w:p>
    <w:p w14:paraId="7D62B12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）企业2023年营业收入不超过2亿元人民币。</w:t>
      </w:r>
    </w:p>
    <w:p w14:paraId="1E13E27C">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（四）大赛按照初创企业组和成长企业组进行比赛。工商注册日期在2023年1月1日（含）之后的企业参加初创企业组比赛，其他企业参加成长企业组比赛。  </w:t>
      </w:r>
    </w:p>
    <w:p w14:paraId="2D0F5491">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（五）入围自治区复赛、全国赛的成长组企业须获得科技型中小企业入库登记编号（登记网址：</w:t>
      </w:r>
      <w:r>
        <w:rPr>
          <w:rStyle w:val="8"/>
          <w:rFonts w:hint="eastAsia" w:ascii="仿宋_GB2312" w:hAnsi="仿宋_GB2312" w:eastAsia="仿宋_GB2312" w:cs="仿宋_GB2312"/>
          <w:sz w:val="32"/>
          <w:szCs w:val="32"/>
          <w:lang w:eastAsia="zh-CN"/>
        </w:rPr>
        <w:t>www.innofund.gov.cn）或有效期内的高新技术企业证书编号，对初创组企业不作此项要求。</w:t>
      </w:r>
    </w:p>
    <w:p w14:paraId="20DD22DF">
      <w:pPr>
        <w:spacing w:line="54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、比赛安排</w:t>
      </w:r>
    </w:p>
    <w:p w14:paraId="77530523">
      <w:pPr>
        <w:snapToGrid w:val="0"/>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（一）报名参赛</w:t>
      </w:r>
    </w:p>
    <w:p w14:paraId="047BAAFD">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自评符合参赛条件的企业登录中国创新创业大赛官网（www.cxcyds.com）注册报名。报名企业在进行注册和身份认证后，应提交完整报名材料，并对所填信息的准确性和真实性负责。大赛官网是报名参赛的唯一渠道，其他报名渠道均无效。</w:t>
      </w:r>
    </w:p>
    <w:p w14:paraId="2DCF7931">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注册截止日期：202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延后待定</w:t>
      </w:r>
      <w:r>
        <w:rPr>
          <w:rFonts w:hint="eastAsia" w:ascii="仿宋_GB2312" w:hAnsi="仿宋_GB2312" w:eastAsia="仿宋_GB2312" w:cs="仿宋_GB2312"/>
          <w:sz w:val="32"/>
          <w:szCs w:val="32"/>
          <w:lang w:eastAsia="zh-CN"/>
        </w:rPr>
        <w:t>）</w:t>
      </w:r>
    </w:p>
    <w:p w14:paraId="0C145004">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报名截止日期：202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日（</w:t>
      </w:r>
      <w:r>
        <w:rPr>
          <w:rFonts w:hint="eastAsia" w:ascii="仿宋_GB2312" w:hAnsi="仿宋_GB2312" w:eastAsia="仿宋_GB2312" w:cs="仿宋_GB2312"/>
          <w:sz w:val="32"/>
          <w:szCs w:val="32"/>
          <w:lang w:val="en-US" w:eastAsia="zh-CN"/>
        </w:rPr>
        <w:t>延后待定</w:t>
      </w:r>
      <w:r>
        <w:rPr>
          <w:rFonts w:hint="eastAsia" w:ascii="仿宋_GB2312" w:hAnsi="仿宋_GB2312" w:eastAsia="仿宋_GB2312" w:cs="仿宋_GB2312"/>
          <w:sz w:val="32"/>
          <w:szCs w:val="32"/>
          <w:lang w:eastAsia="zh-CN"/>
        </w:rPr>
        <w:t>）</w:t>
      </w:r>
    </w:p>
    <w:p w14:paraId="0A80890B">
      <w:pPr>
        <w:snapToGrid w:val="0"/>
        <w:spacing w:line="54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lang w:val="en-US" w:eastAsia="zh-CN"/>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广西赛区柳州市选拔赛</w:t>
      </w:r>
    </w:p>
    <w:p w14:paraId="67D87591">
      <w:pPr>
        <w:spacing w:line="540" w:lineRule="exact"/>
        <w:ind w:firstLine="640" w:firstLineChars="20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按照科技厅晋级名额数（广西赛区</w:t>
      </w:r>
      <w:r>
        <w:rPr>
          <w:rFonts w:ascii="仿宋_GB2312" w:hAnsi="宋体" w:eastAsia="仿宋_GB2312" w:cs="仿宋_GB2312"/>
          <w:color w:val="000000"/>
          <w:kern w:val="0"/>
          <w:sz w:val="31"/>
          <w:szCs w:val="31"/>
          <w:lang w:val="en-US" w:eastAsia="zh-CN" w:bidi="ar"/>
        </w:rPr>
        <w:t>组委会根据</w:t>
      </w:r>
      <w:r>
        <w:rPr>
          <w:rFonts w:hint="eastAsia" w:ascii="仿宋_GB2312" w:hAnsi="宋体" w:eastAsia="仿宋_GB2312" w:cs="仿宋_GB2312"/>
          <w:color w:val="000000"/>
          <w:kern w:val="0"/>
          <w:sz w:val="31"/>
          <w:szCs w:val="31"/>
          <w:lang w:val="en-US" w:eastAsia="zh-CN" w:bidi="ar"/>
        </w:rPr>
        <w:t>各市报名参赛</w:t>
      </w:r>
      <w:r>
        <w:rPr>
          <w:rFonts w:ascii="仿宋_GB2312" w:hAnsi="宋体" w:eastAsia="仿宋_GB2312" w:cs="仿宋_GB2312"/>
          <w:color w:val="000000"/>
          <w:kern w:val="0"/>
          <w:sz w:val="31"/>
          <w:szCs w:val="31"/>
          <w:lang w:val="en-US" w:eastAsia="zh-CN" w:bidi="ar"/>
        </w:rPr>
        <w:t>的</w:t>
      </w:r>
      <w:r>
        <w:rPr>
          <w:rFonts w:hint="eastAsia" w:ascii="仿宋_GB2312" w:hAnsi="宋体" w:eastAsia="仿宋_GB2312" w:cs="仿宋_GB2312"/>
          <w:color w:val="000000"/>
          <w:kern w:val="0"/>
          <w:sz w:val="31"/>
          <w:szCs w:val="31"/>
          <w:lang w:val="en-US" w:eastAsia="zh-CN" w:bidi="ar"/>
        </w:rPr>
        <w:t>项目</w:t>
      </w:r>
      <w:r>
        <w:rPr>
          <w:rFonts w:ascii="仿宋_GB2312" w:hAnsi="宋体" w:eastAsia="仿宋_GB2312" w:cs="仿宋_GB2312"/>
          <w:color w:val="000000"/>
          <w:kern w:val="0"/>
          <w:sz w:val="31"/>
          <w:szCs w:val="31"/>
          <w:lang w:val="en-US" w:eastAsia="zh-CN" w:bidi="ar"/>
        </w:rPr>
        <w:t>数，按</w:t>
      </w:r>
      <w:r>
        <w:rPr>
          <w:rFonts w:hint="eastAsia" w:ascii="仿宋_GB2312" w:hAnsi="宋体" w:eastAsia="仿宋_GB2312" w:cs="仿宋_GB2312"/>
          <w:color w:val="000000"/>
          <w:kern w:val="0"/>
          <w:sz w:val="31"/>
          <w:szCs w:val="31"/>
          <w:lang w:val="en-US" w:eastAsia="zh-CN" w:bidi="ar"/>
        </w:rPr>
        <w:t>比例分配晋级广西赛区产业复赛名额），选拔出优秀项目参加区产业复赛。</w:t>
      </w:r>
    </w:p>
    <w:p w14:paraId="30F1BD3B">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1.时间和地点：</w:t>
      </w:r>
      <w:r>
        <w:rPr>
          <w:rFonts w:hint="eastAsia" w:ascii="仿宋_GB2312" w:hAnsi="仿宋_GB2312" w:eastAsia="仿宋_GB2312" w:cs="仿宋_GB2312"/>
          <w:bCs/>
          <w:sz w:val="32"/>
          <w:szCs w:val="32"/>
          <w:lang w:val="en-US" w:eastAsia="zh-CN"/>
        </w:rPr>
        <w:t>8</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上</w:t>
      </w:r>
      <w:r>
        <w:rPr>
          <w:rFonts w:hint="eastAsia" w:ascii="仿宋_GB2312" w:hAnsi="仿宋_GB2312" w:eastAsia="仿宋_GB2312" w:cs="仿宋_GB2312"/>
          <w:bCs/>
          <w:sz w:val="32"/>
          <w:szCs w:val="32"/>
        </w:rPr>
        <w:t>旬，地点待定（时间暂定，另行通知）</w:t>
      </w:r>
    </w:p>
    <w:p w14:paraId="37C0C13D">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2.比赛形式（暂定）：</w:t>
      </w:r>
    </w:p>
    <w:p w14:paraId="73400C7B">
      <w:pPr>
        <w:spacing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sz w:val="32"/>
          <w:szCs w:val="32"/>
        </w:rPr>
        <w:t>“8+7现场答辩、当场亮分”的评选方式，即选手自我展示8分钟，评委点评问答7分钟。</w:t>
      </w:r>
    </w:p>
    <w:p w14:paraId="7C3D18A1">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第一环节：企业展示与项目阐述，主要展现</w:t>
      </w:r>
      <w:r>
        <w:rPr>
          <w:rFonts w:hint="eastAsia" w:ascii="仿宋_GB2312" w:hAnsi="仿宋_GB2312" w:eastAsia="仿宋_GB2312" w:cs="仿宋_GB2312"/>
          <w:color w:val="000000"/>
          <w:kern w:val="0"/>
          <w:sz w:val="32"/>
          <w:szCs w:val="32"/>
          <w:lang w:bidi="ar"/>
        </w:rPr>
        <w:t>产品和服务、商业模式及实施方案、行业及市场、核心团队、融资需求、财务分析等。</w:t>
      </w:r>
    </w:p>
    <w:p w14:paraId="747E8881">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第二环节：现场答辩，解答评委对企业项目相关疑问、考察选手市场分析能力和创业潜质。</w:t>
      </w:r>
    </w:p>
    <w:p w14:paraId="284C0AFA">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第三环节：投资人点评</w:t>
      </w:r>
    </w:p>
    <w:p w14:paraId="174DA059">
      <w:pPr>
        <w:numPr>
          <w:ilvl w:val="0"/>
          <w:numId w:val="2"/>
        </w:numPr>
        <w:spacing w:line="540" w:lineRule="exact"/>
        <w:ind w:firstLine="640" w:firstLineChars="200"/>
        <w:rPr>
          <w:rFonts w:hint="default" w:ascii="仿宋_GB2312" w:hAnsi="仿宋_GB2312" w:eastAsia="仿宋_GB2312" w:cs="仿宋_GB2312"/>
          <w:bCs/>
          <w:color w:val="000000" w:themeColor="text1"/>
          <w:sz w:val="32"/>
          <w:szCs w:val="32"/>
          <w:lang w:val="en-US"/>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二</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Cs/>
          <w:color w:val="000000" w:themeColor="text1"/>
          <w:sz w:val="32"/>
          <w:szCs w:val="32"/>
          <w14:textFill>
            <w14:solidFill>
              <w14:schemeClr w14:val="tx1"/>
            </w14:solidFill>
          </w14:textFill>
        </w:rPr>
        <w:t>环节结束后，评委现场打分，比赛结束后根据各项目分数汇总排名结果确定</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晋级名单。</w:t>
      </w:r>
    </w:p>
    <w:p w14:paraId="4A9AA374">
      <w:pPr>
        <w:spacing w:line="540" w:lineRule="exact"/>
        <w:ind w:firstLine="640" w:firstLineChars="200"/>
        <w:outlineLvl w:val="0"/>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七</w:t>
      </w:r>
      <w:r>
        <w:rPr>
          <w:rFonts w:hint="eastAsia" w:ascii="黑体" w:hAnsi="黑体" w:eastAsia="黑体" w:cs="黑体"/>
          <w:color w:val="000000" w:themeColor="text1"/>
          <w:sz w:val="32"/>
          <w:szCs w:val="32"/>
          <w14:textFill>
            <w14:solidFill>
              <w14:schemeClr w14:val="tx1"/>
            </w14:solidFill>
          </w14:textFill>
        </w:rPr>
        <w:t>、奖励与支持</w:t>
      </w:r>
    </w:p>
    <w:p w14:paraId="7F8DBD49">
      <w:pPr>
        <w:spacing w:line="540" w:lineRule="exact"/>
        <w:ind w:firstLine="643" w:firstLineChars="200"/>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（一）</w:t>
      </w:r>
      <w:r>
        <w:rPr>
          <w:rFonts w:hint="eastAsia" w:ascii="仿宋_GB2312" w:hAnsi="仿宋_GB2312" w:eastAsia="仿宋_GB2312" w:cs="仿宋_GB2312"/>
          <w:b/>
          <w:bCs/>
          <w:color w:val="auto"/>
          <w:sz w:val="32"/>
          <w:szCs w:val="32"/>
          <w:lang w:val="en-US" w:eastAsia="zh-CN"/>
        </w:rPr>
        <w:t>奖项设置</w:t>
      </w:r>
    </w:p>
    <w:p w14:paraId="43E9B988">
      <w:pPr>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1．成长企业组：</w:t>
      </w:r>
    </w:p>
    <w:p w14:paraId="6755AC3A">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一等奖，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w:t>
      </w:r>
    </w:p>
    <w:p w14:paraId="5AD2A1F5">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二等奖，</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w:t>
      </w:r>
    </w:p>
    <w:p w14:paraId="2761F864">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三等奖，</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p>
    <w:p w14:paraId="6D5C4924">
      <w:pPr>
        <w:spacing w:line="540" w:lineRule="exact"/>
        <w:ind w:firstLine="640" w:firstLineChars="20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2．初创企业组：</w:t>
      </w:r>
    </w:p>
    <w:p w14:paraId="3E98F705">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一等奖，</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名；</w:t>
      </w:r>
    </w:p>
    <w:p w14:paraId="0F6CD7F0">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二等奖，</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名；</w:t>
      </w:r>
    </w:p>
    <w:p w14:paraId="112A83F4">
      <w:pPr>
        <w:numPr>
          <w:ilvl w:val="-1"/>
          <w:numId w:val="0"/>
        </w:num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三等奖，</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名</w:t>
      </w:r>
      <w:r>
        <w:rPr>
          <w:rFonts w:hint="eastAsia" w:ascii="仿宋_GB2312" w:hAnsi="仿宋_GB2312" w:eastAsia="仿宋_GB2312" w:cs="仿宋_GB2312"/>
          <w:color w:val="auto"/>
          <w:sz w:val="32"/>
          <w:szCs w:val="32"/>
          <w:lang w:eastAsia="zh-CN"/>
        </w:rPr>
        <w:t>。</w:t>
      </w:r>
    </w:p>
    <w:p w14:paraId="2A475F9A">
      <w:pPr>
        <w:numPr>
          <w:ilvl w:val="0"/>
          <w:numId w:val="3"/>
        </w:numPr>
        <w:spacing w:line="54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设最佳组织奖</w:t>
      </w:r>
    </w:p>
    <w:p w14:paraId="5D7CBBC4">
      <w:pPr>
        <w:spacing w:line="54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kern w:val="44"/>
          <w:sz w:val="32"/>
          <w:szCs w:val="32"/>
        </w:rPr>
        <w:t>根据县区及各孵化器组织初赛的活跃度与成效进行最佳组织奖的评定，鼓励县区及各孵化器积极组织参赛企业，营造良好的创新创业氛围</w:t>
      </w:r>
      <w:r>
        <w:rPr>
          <w:rFonts w:hint="eastAsia" w:ascii="仿宋_GB2312" w:hAnsi="仿宋_GB2312" w:eastAsia="仿宋_GB2312" w:cs="仿宋_GB2312"/>
          <w:bCs/>
          <w:sz w:val="32"/>
          <w:szCs w:val="32"/>
        </w:rPr>
        <w:t>。</w:t>
      </w:r>
    </w:p>
    <w:p w14:paraId="0EE97682">
      <w:pPr>
        <w:numPr>
          <w:ilvl w:val="0"/>
          <w:numId w:val="0"/>
        </w:numPr>
        <w:spacing w:line="540" w:lineRule="exact"/>
        <w:ind w:leftChars="0"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（二）其他支持</w:t>
      </w:r>
    </w:p>
    <w:p w14:paraId="18B0017C">
      <w:pPr>
        <w:spacing w:line="540" w:lineRule="exact"/>
        <w:ind w:firstLine="643"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
          <w:sz w:val="32"/>
          <w:szCs w:val="32"/>
        </w:rPr>
        <w:t>智库支持</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具有前瞻性、发展前景较好的项目，</w:t>
      </w:r>
      <w:r>
        <w:rPr>
          <w:rFonts w:hint="eastAsia" w:ascii="仿宋_GB2312" w:hAnsi="仿宋_GB2312" w:eastAsia="仿宋_GB2312" w:cs="仿宋_GB2312"/>
          <w:bCs/>
          <w:sz w:val="32"/>
          <w:szCs w:val="32"/>
        </w:rPr>
        <w:t>组织投融资机构、知名企业、孵化载体、工业园区、双创服务机构等单位，提供需求对接、政策匹配、创业规划指导、科小高企创新台阶升级辅导等“一对一”服务。</w:t>
      </w:r>
    </w:p>
    <w:p w14:paraId="46F9C5F9">
      <w:pPr>
        <w:spacing w:line="540" w:lineRule="exact"/>
        <w:ind w:firstLine="643" w:firstLineChars="200"/>
        <w:outlineLvl w:val="0"/>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
          <w:bCs w:val="0"/>
          <w:sz w:val="32"/>
          <w:szCs w:val="32"/>
          <w:lang w:val="en-US" w:eastAsia="zh-CN"/>
        </w:rPr>
        <w:t>2.产学研支持：</w:t>
      </w:r>
      <w:r>
        <w:rPr>
          <w:rFonts w:hint="eastAsia" w:ascii="仿宋_GB2312" w:hAnsi="仿宋_GB2312" w:eastAsia="仿宋_GB2312" w:cs="仿宋_GB2312"/>
          <w:bCs/>
          <w:sz w:val="32"/>
          <w:szCs w:val="32"/>
          <w:lang w:val="en-US" w:eastAsia="zh-CN"/>
        </w:rPr>
        <w:t>鼓励高校、医院、科研院所等与企业合作，以企业为主体参赛，优先支持产学研项目。</w:t>
      </w:r>
    </w:p>
    <w:p w14:paraId="03C8883C">
      <w:pPr>
        <w:pStyle w:val="5"/>
        <w:adjustRightInd w:val="0"/>
        <w:snapToGrid w:val="0"/>
        <w:spacing w:before="0" w:beforeAutospacing="0" w:after="0" w:afterAutospacing="0" w:line="540" w:lineRule="exact"/>
        <w:ind w:firstLine="643" w:firstLineChars="200"/>
        <w:rPr>
          <w:rFonts w:hint="eastAsia" w:ascii="仿宋_GB2312" w:hAnsi="仿宋_GB2312" w:eastAsia="仿宋_GB2312" w:cs="仿宋_GB2312"/>
          <w:bCs/>
          <w:kern w:val="2"/>
          <w:sz w:val="32"/>
          <w:szCs w:val="32"/>
        </w:rPr>
      </w:pPr>
      <w:r>
        <w:rPr>
          <w:rFonts w:hint="eastAsia" w:ascii="仿宋_GB2312" w:hAnsi="仿宋_GB2312" w:eastAsia="仿宋_GB2312" w:cs="仿宋_GB2312"/>
          <w:b/>
          <w:bCs w:val="0"/>
          <w:kern w:val="2"/>
          <w:sz w:val="32"/>
          <w:szCs w:val="32"/>
          <w:lang w:val="en-US" w:eastAsia="zh-CN"/>
        </w:rPr>
        <w:t>3</w:t>
      </w:r>
      <w:r>
        <w:rPr>
          <w:rFonts w:hint="eastAsia" w:ascii="仿宋_GB2312" w:hAnsi="仿宋_GB2312" w:eastAsia="仿宋_GB2312" w:cs="仿宋_GB2312"/>
          <w:b/>
          <w:bCs w:val="0"/>
          <w:kern w:val="2"/>
          <w:sz w:val="32"/>
          <w:szCs w:val="32"/>
        </w:rPr>
        <w:t>.</w:t>
      </w:r>
      <w:r>
        <w:rPr>
          <w:rFonts w:hint="eastAsia" w:ascii="仿宋_GB2312" w:hAnsi="仿宋_GB2312" w:eastAsia="仿宋_GB2312" w:cs="仿宋_GB2312"/>
          <w:b/>
          <w:kern w:val="2"/>
          <w:sz w:val="32"/>
          <w:szCs w:val="32"/>
        </w:rPr>
        <w:t>场地支持：</w:t>
      </w:r>
      <w:r>
        <w:rPr>
          <w:rFonts w:hint="eastAsia" w:ascii="仿宋_GB2312" w:hAnsi="仿宋_GB2312" w:eastAsia="仿宋_GB2312" w:cs="仿宋_GB2312"/>
          <w:bCs/>
          <w:sz w:val="32"/>
          <w:szCs w:val="32"/>
        </w:rPr>
        <w:t>为入围决赛项目提供在</w:t>
      </w:r>
      <w:r>
        <w:rPr>
          <w:rFonts w:hint="eastAsia" w:ascii="仿宋_GB2312" w:hAnsi="仿宋_GB2312" w:eastAsia="仿宋_GB2312" w:cs="仿宋_GB2312"/>
          <w:sz w:val="32"/>
          <w:szCs w:val="32"/>
        </w:rPr>
        <w:t>孵化器、众创空间等</w:t>
      </w:r>
      <w:r>
        <w:rPr>
          <w:rFonts w:hint="eastAsia" w:ascii="仿宋_GB2312" w:hAnsi="仿宋_GB2312" w:eastAsia="仿宋_GB2312" w:cs="仿宋_GB2312"/>
          <w:bCs/>
          <w:sz w:val="32"/>
          <w:szCs w:val="32"/>
        </w:rPr>
        <w:t xml:space="preserve">相适配为期一年合理大小的免费办公场地。 </w:t>
      </w:r>
    </w:p>
    <w:p w14:paraId="4917DF86">
      <w:pPr>
        <w:pStyle w:val="5"/>
        <w:adjustRightInd w:val="0"/>
        <w:snapToGrid w:val="0"/>
        <w:spacing w:before="0" w:beforeAutospacing="0" w:after="0" w:afterAutospacing="0" w:line="540" w:lineRule="exact"/>
        <w:ind w:firstLine="643" w:firstLineChars="200"/>
        <w:rPr>
          <w:rFonts w:hint="eastAsia" w:ascii="仿宋_GB2312" w:hAnsi="仿宋_GB2312" w:eastAsia="仿宋_GB2312" w:cs="仿宋_GB2312"/>
          <w:bCs/>
          <w:kern w:val="2"/>
          <w:sz w:val="32"/>
          <w:szCs w:val="32"/>
        </w:rPr>
      </w:pPr>
      <w:r>
        <w:rPr>
          <w:rFonts w:hint="eastAsia" w:ascii="仿宋_GB2312" w:hAnsi="仿宋_GB2312" w:eastAsia="仿宋_GB2312" w:cs="仿宋_GB2312"/>
          <w:b/>
          <w:bCs w:val="0"/>
          <w:kern w:val="2"/>
          <w:sz w:val="32"/>
          <w:szCs w:val="32"/>
          <w:lang w:val="en-US" w:eastAsia="zh-CN"/>
        </w:rPr>
        <w:t>4</w:t>
      </w:r>
      <w:r>
        <w:rPr>
          <w:rFonts w:hint="eastAsia" w:ascii="仿宋_GB2312" w:hAnsi="仿宋_GB2312" w:eastAsia="仿宋_GB2312" w:cs="仿宋_GB2312"/>
          <w:b/>
          <w:bCs w:val="0"/>
          <w:kern w:val="2"/>
          <w:sz w:val="32"/>
          <w:szCs w:val="32"/>
        </w:rPr>
        <w:t>.</w:t>
      </w:r>
      <w:r>
        <w:rPr>
          <w:rFonts w:hint="eastAsia" w:ascii="仿宋_GB2312" w:hAnsi="仿宋_GB2312" w:eastAsia="仿宋_GB2312" w:cs="仿宋_GB2312"/>
          <w:b/>
          <w:kern w:val="2"/>
          <w:sz w:val="32"/>
          <w:szCs w:val="32"/>
        </w:rPr>
        <w:t>荣誉支持：</w:t>
      </w:r>
      <w:r>
        <w:rPr>
          <w:rFonts w:hint="eastAsia" w:ascii="仿宋_GB2312" w:hAnsi="仿宋_GB2312" w:eastAsia="仿宋_GB2312" w:cs="仿宋_GB2312"/>
          <w:kern w:val="2"/>
          <w:sz w:val="32"/>
          <w:szCs w:val="32"/>
        </w:rPr>
        <w:t>颁发荣誉证书，</w:t>
      </w:r>
      <w:r>
        <w:rPr>
          <w:rFonts w:hint="eastAsia" w:ascii="仿宋_GB2312" w:hAnsi="仿宋_GB2312" w:eastAsia="仿宋_GB2312" w:cs="仿宋_GB2312"/>
          <w:kern w:val="44"/>
          <w:sz w:val="32"/>
          <w:szCs w:val="32"/>
        </w:rPr>
        <w:t>对所有获奖队伍（包括最佳组织奖）颁发奖励证书</w:t>
      </w:r>
      <w:r>
        <w:rPr>
          <w:rFonts w:hint="eastAsia" w:ascii="仿宋_GB2312" w:hAnsi="仿宋_GB2312" w:eastAsia="仿宋_GB2312" w:cs="仿宋_GB2312"/>
          <w:kern w:val="44"/>
          <w:sz w:val="32"/>
          <w:szCs w:val="32"/>
          <w:lang w:eastAsia="zh-CN"/>
        </w:rPr>
        <w:t>，</w:t>
      </w:r>
      <w:r>
        <w:rPr>
          <w:rFonts w:hint="eastAsia" w:ascii="仿宋_GB2312" w:hAnsi="仿宋_GB2312" w:eastAsia="仿宋_GB2312" w:cs="仿宋_GB2312"/>
          <w:color w:val="auto"/>
          <w:sz w:val="32"/>
          <w:szCs w:val="32"/>
          <w:lang w:val="en-US" w:eastAsia="zh-CN"/>
        </w:rPr>
        <w:t>证书列出主要团队成员名字（6名）</w:t>
      </w:r>
      <w:r>
        <w:rPr>
          <w:rFonts w:hint="eastAsia" w:ascii="仿宋_GB2312" w:hAnsi="仿宋_GB2312" w:eastAsia="仿宋_GB2312" w:cs="仿宋_GB2312"/>
          <w:kern w:val="44"/>
          <w:sz w:val="32"/>
          <w:szCs w:val="32"/>
        </w:rPr>
        <w:t>。</w:t>
      </w:r>
    </w:p>
    <w:p w14:paraId="11C88B64">
      <w:pPr>
        <w:spacing w:line="540" w:lineRule="exact"/>
        <w:ind w:firstLine="643" w:firstLineChars="200"/>
        <w:rPr>
          <w:rFonts w:hint="eastAsia" w:ascii="仿宋_GB2312" w:hAnsi="仿宋_GB2312" w:eastAsia="仿宋_GB2312" w:cs="仿宋_GB2312"/>
          <w:bCs/>
          <w:color w:val="C00000"/>
          <w:kern w:val="0"/>
          <w:sz w:val="32"/>
          <w:szCs w:val="32"/>
          <w:lang w:eastAsia="zh-CN"/>
        </w:rPr>
      </w:pP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sz w:val="32"/>
          <w:szCs w:val="32"/>
        </w:rPr>
        <w:t>金融支持：</w:t>
      </w:r>
      <w:r>
        <w:rPr>
          <w:rFonts w:hint="eastAsia" w:ascii="仿宋_GB2312" w:hAnsi="仿宋_GB2312" w:eastAsia="仿宋_GB2312" w:cs="仿宋_GB2312"/>
          <w:bCs/>
          <w:color w:val="000000" w:themeColor="text1"/>
          <w:kern w:val="0"/>
          <w:sz w:val="32"/>
          <w:szCs w:val="32"/>
          <w14:textFill>
            <w14:solidFill>
              <w14:schemeClr w14:val="tx1"/>
            </w14:solidFill>
          </w14:textFill>
        </w:rPr>
        <w:t>优先推荐给大赛投资基金和创业投资机</w:t>
      </w:r>
      <w:r>
        <w:rPr>
          <w:rFonts w:hint="eastAsia" w:ascii="仿宋_GB2312" w:hAnsi="仿宋_GB2312" w:eastAsia="仿宋_GB2312" w:cs="仿宋_GB2312"/>
          <w:bCs/>
          <w:color w:val="auto"/>
          <w:kern w:val="0"/>
          <w:sz w:val="32"/>
          <w:szCs w:val="32"/>
        </w:rPr>
        <w:t>构</w:t>
      </w:r>
      <w:r>
        <w:rPr>
          <w:rFonts w:hint="eastAsia" w:ascii="仿宋_GB2312" w:hAnsi="仿宋_GB2312" w:eastAsia="仿宋_GB2312" w:cs="仿宋_GB2312"/>
          <w:bCs/>
          <w:color w:val="auto"/>
          <w:kern w:val="0"/>
          <w:sz w:val="32"/>
          <w:szCs w:val="32"/>
          <w:lang w:eastAsia="zh-CN"/>
        </w:rPr>
        <w:t>。</w:t>
      </w:r>
    </w:p>
    <w:p w14:paraId="2C4B35EE">
      <w:pPr>
        <w:spacing w:line="540" w:lineRule="exact"/>
        <w:ind w:firstLine="643" w:firstLineChars="200"/>
        <w:outlineLvl w:val="0"/>
        <w:rPr>
          <w:rFonts w:hint="eastAsia" w:ascii="仿宋_GB2312" w:hAnsi="仿宋_GB2312" w:eastAsia="仿宋_GB2312" w:cs="仿宋_GB2312"/>
          <w:bCs/>
          <w:sz w:val="32"/>
          <w:szCs w:val="32"/>
        </w:rPr>
      </w:pPr>
      <w:r>
        <w:rPr>
          <w:rFonts w:hint="eastAsia" w:ascii="仿宋_GB2312" w:hAnsi="仿宋_GB2312" w:eastAsia="仿宋_GB2312" w:cs="仿宋_GB2312"/>
          <w:b/>
          <w:bCs/>
          <w:color w:val="000000" w:themeColor="text1"/>
          <w:kern w:val="44"/>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kern w:val="44"/>
          <w:sz w:val="32"/>
          <w:szCs w:val="32"/>
          <w14:textFill>
            <w14:solidFill>
              <w14:schemeClr w14:val="tx1"/>
            </w14:solidFill>
          </w14:textFill>
        </w:rPr>
        <w:t>. 其他支持：</w:t>
      </w:r>
      <w:r>
        <w:rPr>
          <w:rFonts w:hint="eastAsia" w:ascii="仿宋_GB2312" w:hAnsi="仿宋_GB2312" w:eastAsia="仿宋_GB2312" w:cs="仿宋_GB2312"/>
          <w:b w:val="0"/>
          <w:bCs w:val="0"/>
          <w:color w:val="000000" w:themeColor="text1"/>
          <w:kern w:val="44"/>
          <w:sz w:val="32"/>
          <w:szCs w:val="32"/>
          <w:lang w:val="en-US" w:eastAsia="zh-CN"/>
          <w14:textFill>
            <w14:solidFill>
              <w14:schemeClr w14:val="tx1"/>
            </w14:solidFill>
          </w14:textFill>
        </w:rPr>
        <w:t>协助</w:t>
      </w:r>
      <w:r>
        <w:rPr>
          <w:rFonts w:hint="eastAsia" w:ascii="仿宋_GB2312" w:hAnsi="仿宋_GB2312" w:eastAsia="仿宋_GB2312" w:cs="仿宋_GB2312"/>
          <w:bCs w:val="0"/>
          <w:color w:val="000000" w:themeColor="text1"/>
          <w:kern w:val="0"/>
          <w:sz w:val="32"/>
          <w:szCs w:val="32"/>
          <w14:textFill>
            <w14:solidFill>
              <w14:schemeClr w14:val="tx1"/>
            </w14:solidFill>
          </w14:textFill>
        </w:rPr>
        <w:t>获</w:t>
      </w:r>
      <w:r>
        <w:rPr>
          <w:rFonts w:hint="eastAsia" w:ascii="仿宋_GB2312" w:hAnsi="仿宋_GB2312" w:eastAsia="仿宋_GB2312" w:cs="仿宋_GB2312"/>
          <w:bCs/>
          <w:color w:val="000000" w:themeColor="text1"/>
          <w:kern w:val="0"/>
          <w:sz w:val="32"/>
          <w:szCs w:val="32"/>
          <w14:textFill>
            <w14:solidFill>
              <w14:schemeClr w14:val="tx1"/>
            </w14:solidFill>
          </w14:textFill>
        </w:rPr>
        <w:t>奖团队申请各类</w:t>
      </w:r>
      <w:r>
        <w:rPr>
          <w:rFonts w:hint="eastAsia" w:ascii="仿宋_GB2312" w:hAnsi="仿宋_GB2312" w:eastAsia="仿宋_GB2312" w:cs="仿宋_GB2312"/>
          <w:bCs/>
          <w:color w:val="000000" w:themeColor="text1"/>
          <w:kern w:val="0"/>
          <w:sz w:val="32"/>
          <w:szCs w:val="32"/>
          <w:lang w:val="en-US" w:eastAsia="zh-CN"/>
          <w14:textFill>
            <w14:solidFill>
              <w14:schemeClr w14:val="tx1"/>
            </w14:solidFill>
          </w14:textFill>
        </w:rPr>
        <w:t>项目</w:t>
      </w:r>
      <w:r>
        <w:rPr>
          <w:rFonts w:hint="eastAsia" w:ascii="仿宋_GB2312" w:hAnsi="仿宋_GB2312" w:eastAsia="仿宋_GB2312" w:cs="仿宋_GB2312"/>
          <w:bCs/>
          <w:color w:val="000000" w:themeColor="text1"/>
          <w:kern w:val="0"/>
          <w:sz w:val="32"/>
          <w:szCs w:val="32"/>
          <w14:textFill>
            <w14:solidFill>
              <w14:schemeClr w14:val="tx1"/>
            </w14:solidFill>
          </w14:textFill>
        </w:rPr>
        <w:t>资助资金及其他配套政策的相关工作。</w:t>
      </w:r>
    </w:p>
    <w:p w14:paraId="5822EA47">
      <w:pPr>
        <w:spacing w:line="540" w:lineRule="exact"/>
        <w:ind w:firstLine="640" w:firstLineChars="200"/>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八</w:t>
      </w:r>
      <w:r>
        <w:rPr>
          <w:rFonts w:hint="eastAsia" w:ascii="黑体" w:hAnsi="黑体" w:eastAsia="黑体" w:cs="黑体"/>
          <w:b w:val="0"/>
          <w:bCs w:val="0"/>
          <w:color w:val="000000" w:themeColor="text1"/>
          <w:sz w:val="32"/>
          <w:szCs w:val="32"/>
          <w14:textFill>
            <w14:solidFill>
              <w14:schemeClr w14:val="tx1"/>
            </w14:solidFill>
          </w14:textFill>
        </w:rPr>
        <w:t>、宣传方案</w:t>
      </w:r>
    </w:p>
    <w:p w14:paraId="5E4B45A7">
      <w:pPr>
        <w:numPr>
          <w:ilvl w:val="0"/>
          <w:numId w:val="4"/>
        </w:numPr>
        <w:spacing w:line="54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大赛前期宣传</w:t>
      </w:r>
    </w:p>
    <w:p w14:paraId="12EE3878">
      <w:pPr>
        <w:spacing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1．大赛电子宣传海报、大赛宣传视频、报名指南等发布至官方媒体、新媒体、网站、</w:t>
      </w: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孵化载体公众号</w:t>
      </w:r>
      <w:r>
        <w:rPr>
          <w:rFonts w:hint="eastAsia" w:ascii="仿宋_GB2312" w:hAnsi="仿宋_GB2312" w:eastAsia="仿宋_GB2312" w:cs="仿宋_GB2312"/>
          <w:bCs/>
          <w:color w:val="000000" w:themeColor="text1"/>
          <w:sz w:val="32"/>
          <w:szCs w:val="32"/>
          <w14:textFill>
            <w14:solidFill>
              <w14:schemeClr w14:val="tx1"/>
            </w14:solidFill>
          </w14:textFill>
        </w:rPr>
        <w:t>等宣传渠道。</w:t>
      </w:r>
    </w:p>
    <w:p w14:paraId="43BBB690">
      <w:pPr>
        <w:spacing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Cs/>
          <w:color w:val="000000" w:themeColor="text1"/>
          <w:sz w:val="32"/>
          <w:szCs w:val="32"/>
          <w14:textFill>
            <w14:solidFill>
              <w14:schemeClr w14:val="tx1"/>
            </w14:solidFill>
          </w14:textFill>
        </w:rPr>
        <w:t>．在报纸、新媒体等发布优秀及典型案例报道、赛事报名相关宣传、报道等新闻。</w:t>
      </w:r>
    </w:p>
    <w:p w14:paraId="028E0F71">
      <w:pPr>
        <w:spacing w:line="540" w:lineRule="exact"/>
        <w:ind w:firstLine="643" w:firstLineChars="200"/>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（二）大赛中期宣传</w:t>
      </w:r>
    </w:p>
    <w:p w14:paraId="685A2266">
      <w:pPr>
        <w:spacing w:line="540" w:lineRule="exact"/>
        <w:ind w:firstLine="640" w:firstLineChars="200"/>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1．对大赛过程进行跟踪报道，报道赛程、优秀晋级企业及大赛培训指导等内容。</w:t>
      </w:r>
    </w:p>
    <w:p w14:paraId="41EB5E25">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color w:val="000000" w:themeColor="text1"/>
          <w:sz w:val="32"/>
          <w:szCs w:val="32"/>
          <w14:textFill>
            <w14:solidFill>
              <w14:schemeClr w14:val="tx1"/>
            </w14:solidFill>
          </w14:textFill>
        </w:rPr>
        <w:t>2．</w:t>
      </w:r>
      <w:r>
        <w:rPr>
          <w:rFonts w:hint="eastAsia" w:ascii="仿宋_GB2312" w:hAnsi="仿宋_GB2312" w:eastAsia="仿宋_GB2312" w:cs="仿宋_GB2312"/>
          <w:bCs/>
          <w:sz w:val="32"/>
          <w:szCs w:val="32"/>
        </w:rPr>
        <w:t>邀请电视、报纸等官方媒体对大赛进行采访，发布赛程内容、大赛花絮报道等新闻。</w:t>
      </w:r>
    </w:p>
    <w:p w14:paraId="5637F265">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（三）大赛后期宣传</w:t>
      </w:r>
    </w:p>
    <w:p w14:paraId="609ECEDC">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1．邀请官方媒体、新媒体等对大赛获奖企业进行后期跟踪宣传报道。</w:t>
      </w:r>
    </w:p>
    <w:p w14:paraId="0C793AAA">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2．邀请获奖企业到全市高等院校、企业园区、孵化器、众创空间</w:t>
      </w:r>
      <w:r>
        <w:rPr>
          <w:rFonts w:hint="eastAsia" w:ascii="仿宋_GB2312" w:hAnsi="仿宋_GB2312" w:eastAsia="仿宋_GB2312" w:cs="仿宋_GB2312"/>
          <w:sz w:val="32"/>
          <w:szCs w:val="32"/>
        </w:rPr>
        <w:t>、</w:t>
      </w:r>
      <w:r>
        <w:rPr>
          <w:rFonts w:hint="eastAsia" w:ascii="仿宋_GB2312" w:hAnsi="仿宋_GB2312" w:eastAsia="仿宋_GB2312" w:cs="仿宋_GB2312"/>
          <w:bCs/>
          <w:sz w:val="32"/>
          <w:szCs w:val="32"/>
        </w:rPr>
        <w:t>创业创新基地园区、创业孵化基地、现代服务业聚集区等机构进行宣传与走访。</w:t>
      </w:r>
    </w:p>
    <w:p w14:paraId="14E0C90B">
      <w:pPr>
        <w:spacing w:line="540" w:lineRule="exact"/>
        <w:ind w:firstLine="640"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、大赛</w:t>
      </w:r>
      <w:r>
        <w:rPr>
          <w:rFonts w:hint="eastAsia" w:ascii="黑体" w:hAnsi="黑体" w:eastAsia="黑体" w:cs="黑体"/>
          <w:b w:val="0"/>
          <w:bCs w:val="0"/>
          <w:sz w:val="32"/>
          <w:szCs w:val="32"/>
          <w:lang w:val="en-US" w:eastAsia="zh-CN"/>
        </w:rPr>
        <w:t>组织</w:t>
      </w:r>
      <w:r>
        <w:rPr>
          <w:rFonts w:hint="eastAsia" w:ascii="黑体" w:hAnsi="黑体" w:eastAsia="黑体" w:cs="黑体"/>
          <w:b w:val="0"/>
          <w:bCs w:val="0"/>
          <w:sz w:val="32"/>
          <w:szCs w:val="32"/>
        </w:rPr>
        <w:t>分工</w:t>
      </w:r>
    </w:p>
    <w:p w14:paraId="4807E041">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（一）大赛事务总协调</w:t>
      </w:r>
    </w:p>
    <w:p w14:paraId="420F2E38">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该工作由柳州市科学技术局</w:t>
      </w:r>
      <w:r>
        <w:rPr>
          <w:rFonts w:hint="eastAsia" w:ascii="仿宋_GB2312" w:hAnsi="仿宋_GB2312" w:eastAsia="仿宋_GB2312" w:cs="仿宋_GB2312"/>
          <w:bCs/>
          <w:sz w:val="32"/>
          <w:szCs w:val="32"/>
          <w:lang w:val="en-US" w:eastAsia="zh-CN"/>
        </w:rPr>
        <w:t>高新科</w:t>
      </w:r>
      <w:r>
        <w:rPr>
          <w:rFonts w:hint="eastAsia" w:ascii="仿宋_GB2312" w:hAnsi="仿宋_GB2312" w:eastAsia="仿宋_GB2312" w:cs="仿宋_GB2312"/>
          <w:bCs/>
          <w:sz w:val="32"/>
          <w:szCs w:val="32"/>
        </w:rPr>
        <w:t>承担，主要负责与主办方之间的事务协调、承办方赛事工作事务全程监管，工作质量控制。</w:t>
      </w:r>
    </w:p>
    <w:p w14:paraId="7333739F">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）赛事执行组</w:t>
      </w:r>
    </w:p>
    <w:p w14:paraId="3DFD209D">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该工作由柳州市生产力促进中心</w:t>
      </w:r>
      <w:r>
        <w:rPr>
          <w:rFonts w:hint="eastAsia" w:ascii="仿宋_GB2312" w:hAnsi="仿宋_GB2312" w:eastAsia="仿宋_GB2312" w:cs="仿宋_GB2312"/>
          <w:bCs/>
          <w:sz w:val="32"/>
          <w:szCs w:val="32"/>
          <w:lang w:val="en-US" w:eastAsia="zh-CN"/>
        </w:rPr>
        <w:t>双创服务科</w:t>
      </w:r>
      <w:r>
        <w:rPr>
          <w:rFonts w:hint="eastAsia" w:ascii="仿宋_GB2312" w:hAnsi="仿宋_GB2312" w:eastAsia="仿宋_GB2312" w:cs="仿宋_GB2312"/>
          <w:bCs/>
          <w:sz w:val="32"/>
          <w:szCs w:val="32"/>
        </w:rPr>
        <w:t>牵头，主要负责制定大赛各阶段操作流程和执行方案；负责参赛选手的组织；负责各项赛程现场活动执行</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rPr>
        <w:t>举办大赛的全过程，均应制</w:t>
      </w:r>
      <w:r>
        <w:rPr>
          <w:rFonts w:hint="eastAsia" w:ascii="仿宋_GB2312" w:hAnsi="仿宋_GB2312" w:eastAsia="仿宋_GB2312" w:cs="仿宋_GB2312"/>
          <w:bCs/>
          <w:color w:val="auto"/>
          <w:sz w:val="32"/>
          <w:szCs w:val="32"/>
        </w:rPr>
        <w:t>定</w:t>
      </w:r>
      <w:r>
        <w:rPr>
          <w:rFonts w:hint="eastAsia" w:ascii="仿宋_GB2312" w:hAnsi="仿宋_GB2312" w:eastAsia="仿宋_GB2312" w:cs="仿宋_GB2312"/>
          <w:bCs/>
          <w:color w:val="auto"/>
          <w:sz w:val="32"/>
          <w:szCs w:val="32"/>
          <w:lang w:eastAsia="zh-CN"/>
        </w:rPr>
        <w:t>安全预控</w:t>
      </w:r>
      <w:r>
        <w:rPr>
          <w:rFonts w:hint="eastAsia" w:ascii="仿宋_GB2312" w:hAnsi="仿宋_GB2312" w:eastAsia="仿宋_GB2312" w:cs="仿宋_GB2312"/>
          <w:bCs/>
          <w:color w:val="auto"/>
          <w:sz w:val="32"/>
          <w:szCs w:val="32"/>
        </w:rPr>
        <w:t>方案，</w:t>
      </w:r>
      <w:r>
        <w:rPr>
          <w:rFonts w:hint="eastAsia" w:ascii="仿宋_GB2312" w:hAnsi="仿宋_GB2312" w:eastAsia="仿宋_GB2312" w:cs="仿宋_GB2312"/>
          <w:bCs/>
          <w:sz w:val="32"/>
          <w:szCs w:val="32"/>
        </w:rPr>
        <w:t>并经柳州市科学技术局认可后严格落实，确保万无一失。</w:t>
      </w:r>
    </w:p>
    <w:p w14:paraId="46374762">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（三）专家协调组</w:t>
      </w:r>
    </w:p>
    <w:p w14:paraId="43BB7DD4">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该工作由柳州市生产力促进中心、</w:t>
      </w:r>
      <w:r>
        <w:rPr>
          <w:rFonts w:hint="eastAsia" w:ascii="仿宋_GB2312" w:hAnsi="仿宋_GB2312" w:eastAsia="仿宋_GB2312" w:cs="仿宋_GB2312"/>
          <w:sz w:val="32"/>
          <w:szCs w:val="32"/>
        </w:rPr>
        <w:t>柳州市智能制造科技服务中心</w:t>
      </w:r>
      <w:r>
        <w:rPr>
          <w:rFonts w:hint="eastAsia" w:ascii="仿宋_GB2312" w:hAnsi="仿宋_GB2312" w:eastAsia="仿宋_GB2312" w:cs="仿宋_GB2312"/>
          <w:bCs/>
          <w:sz w:val="32"/>
          <w:szCs w:val="32"/>
        </w:rPr>
        <w:t>承担，主要负责确定各赛程阶段专家评委队伍；负责培训课程规划、培训模式的确定、培训教材的编写；负责联系专业培训单位，做好各阶段培训工作。</w:t>
      </w:r>
    </w:p>
    <w:p w14:paraId="4CA5441A">
      <w:pPr>
        <w:spacing w:line="54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（四）媒体宣传组</w:t>
      </w:r>
    </w:p>
    <w:p w14:paraId="14E4E6E1">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该工作</w:t>
      </w:r>
      <w:r>
        <w:rPr>
          <w:rFonts w:hint="eastAsia" w:ascii="仿宋_GB2312" w:hAnsi="仿宋_GB2312" w:eastAsia="仿宋_GB2312" w:cs="仿宋_GB2312"/>
          <w:bCs/>
          <w:color w:val="auto"/>
          <w:sz w:val="32"/>
          <w:szCs w:val="32"/>
        </w:rPr>
        <w:t>由</w:t>
      </w:r>
      <w:r>
        <w:rPr>
          <w:rFonts w:hint="eastAsia" w:ascii="仿宋_GB2312" w:hAnsi="仿宋_GB2312" w:eastAsia="仿宋_GB2312" w:cs="仿宋_GB2312"/>
          <w:bCs/>
          <w:sz w:val="32"/>
          <w:szCs w:val="32"/>
        </w:rPr>
        <w:t>柳州市科学技术局</w:t>
      </w:r>
      <w:r>
        <w:rPr>
          <w:rFonts w:hint="eastAsia" w:ascii="仿宋_GB2312" w:hAnsi="仿宋_GB2312" w:eastAsia="仿宋_GB2312" w:cs="仿宋_GB2312"/>
          <w:bCs/>
          <w:sz w:val="32"/>
          <w:szCs w:val="32"/>
          <w:lang w:val="en-US" w:eastAsia="zh-CN"/>
        </w:rPr>
        <w:t>高新科</w:t>
      </w:r>
      <w:r>
        <w:rPr>
          <w:rFonts w:hint="eastAsia" w:ascii="仿宋_GB2312" w:hAnsi="仿宋_GB2312" w:eastAsia="仿宋_GB2312" w:cs="仿宋_GB2312"/>
          <w:bCs/>
          <w:color w:val="auto"/>
          <w:sz w:val="32"/>
          <w:szCs w:val="32"/>
        </w:rPr>
        <w:t>承担</w:t>
      </w:r>
      <w:r>
        <w:rPr>
          <w:rFonts w:hint="eastAsia" w:ascii="仿宋_GB2312" w:hAnsi="仿宋_GB2312" w:eastAsia="仿宋_GB2312" w:cs="仿宋_GB2312"/>
          <w:bCs/>
          <w:sz w:val="32"/>
          <w:szCs w:val="32"/>
        </w:rPr>
        <w:t>，负责联系报纸、新媒体等多方媒体，负责赛事宣传。</w:t>
      </w:r>
    </w:p>
    <w:p w14:paraId="30291CA0">
      <w:pPr>
        <w:spacing w:line="540" w:lineRule="exact"/>
        <w:ind w:firstLine="643" w:firstLineChars="200"/>
        <w:outlineLvl w:val="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）项目专职服务团队</w:t>
      </w:r>
    </w:p>
    <w:p w14:paraId="4C044B63">
      <w:pPr>
        <w:spacing w:line="54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服务团队由柳州市生产力促进中心、</w:t>
      </w:r>
      <w:r>
        <w:rPr>
          <w:rFonts w:hint="eastAsia" w:ascii="仿宋_GB2312" w:hAnsi="仿宋_GB2312" w:eastAsia="仿宋_GB2312" w:cs="仿宋_GB2312"/>
          <w:sz w:val="32"/>
          <w:szCs w:val="32"/>
        </w:rPr>
        <w:t>柳州市智能制造科技服务中心、</w:t>
      </w:r>
      <w:r>
        <w:rPr>
          <w:rFonts w:hint="eastAsia" w:ascii="仿宋_GB2312" w:hAnsi="仿宋_GB2312" w:eastAsia="仿宋_GB2312" w:cs="仿宋_GB2312"/>
          <w:bCs/>
          <w:sz w:val="32"/>
          <w:szCs w:val="32"/>
        </w:rPr>
        <w:t>柳州高新技术创业服务中心负责组建，负责解答选手的相关疑难问题；</w:t>
      </w:r>
      <w:r>
        <w:rPr>
          <w:rFonts w:hint="eastAsia" w:ascii="仿宋_GB2312" w:hAnsi="仿宋_GB2312" w:eastAsia="仿宋_GB2312" w:cs="仿宋_GB2312"/>
          <w:bCs/>
          <w:kern w:val="0"/>
          <w:sz w:val="32"/>
          <w:szCs w:val="32"/>
        </w:rPr>
        <w:t>负责参赛企业科技型中小企业入库、高企申报等创新台阶升级指导工作</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highlight w:val="none"/>
          <w:lang w:eastAsia="zh-CN"/>
        </w:rPr>
        <w:t>负责</w:t>
      </w:r>
      <w:r>
        <w:rPr>
          <w:rFonts w:hint="eastAsia" w:ascii="仿宋_GB2312" w:hAnsi="仿宋_GB2312" w:eastAsia="仿宋_GB2312" w:cs="仿宋_GB2312"/>
          <w:bCs/>
          <w:sz w:val="32"/>
          <w:szCs w:val="32"/>
        </w:rPr>
        <w:t>为项目提供科技顾问、商业模式与战略规划顾问服务、商业计划书协助、赛前预演培训、一对一打磨、股权设计优化等项目优化提升配套服务；第一时间跟进优秀参赛项目，帮助项目获得投融资、政策配套，实现快速发展。</w:t>
      </w:r>
    </w:p>
    <w:p w14:paraId="07266985">
      <w:pPr>
        <w:numPr>
          <w:ilvl w:val="-1"/>
          <w:numId w:val="0"/>
        </w:numPr>
        <w:spacing w:line="540" w:lineRule="exact"/>
        <w:ind w:firstLine="640" w:firstLineChars="0"/>
        <w:rPr>
          <w:rFonts w:hint="default" w:ascii="仿宋_GB2312" w:hAnsi="仿宋_GB2312" w:eastAsia="仿宋_GB2312" w:cs="仿宋_GB2312"/>
          <w:b w:val="0"/>
          <w:bCs/>
          <w:color w:val="auto"/>
          <w:sz w:val="32"/>
          <w:szCs w:val="32"/>
          <w:lang w:val="en-US" w:eastAsia="zh-CN"/>
        </w:rPr>
      </w:pPr>
    </w:p>
    <w:p w14:paraId="14C426ED">
      <w:pPr>
        <w:spacing w:line="540" w:lineRule="exact"/>
        <w:ind w:firstLine="640" w:firstLineChars="200"/>
        <w:rPr>
          <w:rFonts w:hint="eastAsia" w:ascii="仿宋_GB2312" w:hAnsi="仿宋_GB2312" w:eastAsia="仿宋_GB2312" w:cs="仿宋_GB2312"/>
          <w:bCs/>
          <w:sz w:val="32"/>
          <w:szCs w:val="32"/>
        </w:rPr>
      </w:pPr>
    </w:p>
    <w:p w14:paraId="2E3BEFA6">
      <w:pPr>
        <w:spacing w:line="540" w:lineRule="exact"/>
        <w:ind w:firstLine="640" w:firstLineChars="200"/>
        <w:rPr>
          <w:rFonts w:hint="eastAsia" w:ascii="仿宋_GB2312" w:hAnsi="仿宋_GB2312" w:eastAsia="仿宋_GB2312" w:cs="仿宋_GB2312"/>
          <w:bCs/>
          <w:sz w:val="32"/>
          <w:szCs w:val="32"/>
        </w:rPr>
      </w:pPr>
    </w:p>
    <w:p w14:paraId="3E38C9D2">
      <w:pPr>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柳州市科学技术局</w:t>
      </w:r>
    </w:p>
    <w:p w14:paraId="451AE951">
      <w:pPr>
        <w:wordWrap/>
        <w:spacing w:line="540" w:lineRule="exact"/>
        <w:jc w:val="center"/>
        <w:rPr>
          <w:rFonts w:ascii="Times New Roman" w:hAnsi="Times New Roman"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7月19日</w:t>
      </w:r>
    </w:p>
    <w:p w14:paraId="42B3B3BE">
      <w:pPr>
        <w:wordWrap w:val="0"/>
        <w:spacing w:line="540" w:lineRule="exact"/>
        <w:ind w:firstLine="640" w:firstLineChars="200"/>
        <w:jc w:val="right"/>
        <w:rPr>
          <w:rFonts w:hint="default" w:ascii="Times New Roman" w:hAnsi="仿宋_GB2312" w:eastAsia="仿宋_GB2312"/>
          <w:bCs/>
          <w:sz w:val="32"/>
          <w:szCs w:val="32"/>
          <w:lang w:val="en-US"/>
        </w:rPr>
      </w:pPr>
      <w:r>
        <w:rPr>
          <w:rFonts w:hint="eastAsia" w:ascii="Times New Roman" w:hAnsi="Times New Roman" w:eastAsia="仿宋_GB2312"/>
          <w:sz w:val="32"/>
          <w:szCs w:val="32"/>
          <w:lang w:val="en-US" w:eastAsia="zh-CN"/>
        </w:rPr>
        <w:t xml:space="preserve"> </w:t>
      </w:r>
    </w:p>
    <w:sectPr>
      <w:footerReference r:id="rId3" w:type="default"/>
      <w:pgSz w:w="11906" w:h="16838"/>
      <w:pgMar w:top="2098" w:right="1417" w:bottom="1984"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1D06E">
    <w:pPr>
      <w:pStyle w:val="3"/>
      <w:jc w:val="center"/>
      <w:rPr>
        <w:rFonts w:ascii="Times New Roman" w:hAnsi="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FAFA56">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FAFA56">
                    <w:pPr>
                      <w:pStyle w:val="3"/>
                      <w:jc w:val="cente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7 -</w:t>
                    </w:r>
                    <w:r>
                      <w:rPr>
                        <w:rFonts w:ascii="Times New Roman" w:hAnsi="Times New Roman"/>
                        <w:sz w:val="28"/>
                        <w:szCs w:val="28"/>
                      </w:rPr>
                      <w:fldChar w:fldCharType="end"/>
                    </w:r>
                  </w:p>
                </w:txbxContent>
              </v:textbox>
            </v:shape>
          </w:pict>
        </mc:Fallback>
      </mc:AlternateContent>
    </w:r>
  </w:p>
  <w:p w14:paraId="0FA0435D">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E501E"/>
    <w:multiLevelType w:val="singleLevel"/>
    <w:tmpl w:val="C49E501E"/>
    <w:lvl w:ilvl="0" w:tentative="0">
      <w:start w:val="1"/>
      <w:numFmt w:val="chineseCounting"/>
      <w:suff w:val="nothing"/>
      <w:lvlText w:val="第%1、"/>
      <w:lvlJc w:val="left"/>
      <w:rPr>
        <w:rFonts w:hint="eastAsia"/>
      </w:rPr>
    </w:lvl>
  </w:abstractNum>
  <w:abstractNum w:abstractNumId="1">
    <w:nsid w:val="18DD922F"/>
    <w:multiLevelType w:val="singleLevel"/>
    <w:tmpl w:val="18DD922F"/>
    <w:lvl w:ilvl="0" w:tentative="0">
      <w:start w:val="3"/>
      <w:numFmt w:val="decimal"/>
      <w:suff w:val="space"/>
      <w:lvlText w:val="%1."/>
      <w:lvlJc w:val="left"/>
    </w:lvl>
  </w:abstractNum>
  <w:abstractNum w:abstractNumId="2">
    <w:nsid w:val="580C0124"/>
    <w:multiLevelType w:val="singleLevel"/>
    <w:tmpl w:val="580C0124"/>
    <w:lvl w:ilvl="0" w:tentative="0">
      <w:start w:val="1"/>
      <w:numFmt w:val="chineseCounting"/>
      <w:suff w:val="nothing"/>
      <w:lvlText w:val="%1、"/>
      <w:lvlJc w:val="left"/>
      <w:pPr>
        <w:ind w:left="640" w:leftChars="0" w:firstLine="0" w:firstLineChars="0"/>
      </w:pPr>
      <w:rPr>
        <w:rFonts w:hint="eastAsia"/>
      </w:rPr>
    </w:lvl>
  </w:abstractNum>
  <w:abstractNum w:abstractNumId="3">
    <w:nsid w:val="58EA6592"/>
    <w:multiLevelType w:val="singleLevel"/>
    <w:tmpl w:val="58EA6592"/>
    <w:lvl w:ilvl="0" w:tentative="0">
      <w:start w:val="1"/>
      <w:numFmt w:val="chineseCounting"/>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3Mzk3N2UyYjM2MWRhNjUwOGYxNTU4M2MxZWEwYjcifQ=="/>
  </w:docVars>
  <w:rsids>
    <w:rsidRoot w:val="00000000"/>
    <w:rsid w:val="0B4516E8"/>
    <w:rsid w:val="137837B1"/>
    <w:rsid w:val="19B04ED3"/>
    <w:rsid w:val="28DE2EE4"/>
    <w:rsid w:val="2B545BC5"/>
    <w:rsid w:val="3E10350F"/>
    <w:rsid w:val="3E9903A2"/>
    <w:rsid w:val="3F552CAC"/>
    <w:rsid w:val="4847164B"/>
    <w:rsid w:val="49677999"/>
    <w:rsid w:val="517B5C63"/>
    <w:rsid w:val="56D67884"/>
    <w:rsid w:val="58953AAF"/>
    <w:rsid w:val="5DDA5ECD"/>
    <w:rsid w:val="5E3135A0"/>
    <w:rsid w:val="72E91232"/>
    <w:rsid w:val="7CE81914"/>
    <w:rsid w:val="E5381A46"/>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513"/>
        <w:tab w:val="right" w:pos="902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100" w:beforeAutospacing="1" w:after="100" w:afterAutospacing="1"/>
      <w:jc w:val="left"/>
    </w:pPr>
    <w:rPr>
      <w:kern w:val="0"/>
      <w:sz w:val="24"/>
      <w:szCs w:val="24"/>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 Char"/>
    <w:basedOn w:val="8"/>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3069</Words>
  <Characters>3201</Characters>
  <Lines>30</Lines>
  <Paragraphs>8</Paragraphs>
  <TotalTime>0</TotalTime>
  <ScaleCrop>false</ScaleCrop>
  <LinksUpToDate>false</LinksUpToDate>
  <CharactersWithSpaces>3290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2020-06-23T23:43:00Z</dcterms:created>
  <dc:creator>东西南北中</dc:creator>
  <cp:lastModifiedBy>TBQ</cp:lastModifiedBy>
  <cp:lastPrinted>2022-06-17T18:16:00Z</cp:lastPrinted>
  <dcterms:modified xsi:type="dcterms:W3CDTF">2024-07-19T08:11:11Z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A6D56D99597048B19D2721ABAD2D9FD6_13</vt:lpwstr>
  </property>
</Properties>
</file>