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120" w:line="560" w:lineRule="exact"/>
        <w:jc w:val="both"/>
        <w:rPr>
          <w:rFonts w:hint="default" w:ascii="黑体" w:hAnsi="黑体" w:eastAsia="黑体" w:cs="黑体"/>
          <w:kern w:val="2"/>
          <w:sz w:val="32"/>
          <w:szCs w:val="32"/>
          <w:lang w:eastAsia="zh-CN"/>
        </w:rPr>
      </w:pPr>
      <w:bookmarkStart w:id="0" w:name="_GoBack"/>
      <w:bookmarkEnd w:id="0"/>
      <w:r>
        <w:rPr>
          <w:rFonts w:hint="eastAsia" w:ascii="黑体" w:hAnsi="黑体" w:eastAsia="黑体" w:cs="黑体"/>
          <w:kern w:val="2"/>
          <w:sz w:val="32"/>
          <w:szCs w:val="32"/>
          <w:lang w:eastAsia="zh-CN"/>
        </w:rPr>
        <w:t>附件</w:t>
      </w:r>
    </w:p>
    <w:tbl>
      <w:tblPr>
        <w:tblStyle w:val="6"/>
        <w:tblpPr w:leftFromText="180" w:rightFromText="180" w:vertAnchor="text" w:horzAnchor="page" w:tblpX="1933" w:tblpY="876"/>
        <w:tblOverlap w:val="never"/>
        <w:tblW w:w="14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3002"/>
        <w:gridCol w:w="1395"/>
        <w:gridCol w:w="1380"/>
        <w:gridCol w:w="1605"/>
        <w:gridCol w:w="1500"/>
        <w:gridCol w:w="1455"/>
        <w:gridCol w:w="1470"/>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145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2023年中央引导地方科技发展资金项目拟定清单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2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300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项目名称</w:t>
            </w:r>
          </w:p>
        </w:tc>
        <w:tc>
          <w:tcPr>
            <w:tcW w:w="139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所属类别</w:t>
            </w:r>
          </w:p>
        </w:tc>
        <w:tc>
          <w:tcPr>
            <w:tcW w:w="138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申报单位</w:t>
            </w:r>
          </w:p>
        </w:tc>
        <w:tc>
          <w:tcPr>
            <w:tcW w:w="16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合作单位</w:t>
            </w:r>
          </w:p>
        </w:tc>
        <w:tc>
          <w:tcPr>
            <w:tcW w:w="150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项目负责人</w:t>
            </w:r>
          </w:p>
        </w:tc>
        <w:tc>
          <w:tcPr>
            <w:tcW w:w="14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总投资/万元</w:t>
            </w:r>
          </w:p>
        </w:tc>
        <w:tc>
          <w:tcPr>
            <w:tcW w:w="147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资助经费/万元</w:t>
            </w:r>
          </w:p>
        </w:tc>
        <w:tc>
          <w:tcPr>
            <w:tcW w:w="196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区域性老年骨质疏松性骨折防治体系的创新与应用示范</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区域创新体系建设类</w:t>
            </w: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柳州市人民医院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鹿寨县人民医院、罗城仫佬族自治县人民医院、柳城县人民医院</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石展英</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2023YRQ0101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针对病毒性肺炎的安宫牛黄丸物质基础研究及二次开发探索</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柳州市人民医院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北京中医药大学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吴莹</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2023YRZ0101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加味济生肾气汤联合骨髓间充质干细胞治疗肝硬化的技术攻关及疗效机制研究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柳州市中医医院（柳州市壮医医院）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 w:eastAsia="zh-CN"/>
              </w:rPr>
              <w:t>无</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周晓玲</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2023YRZ0102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广西地区地中海贫血植入前胚胎遗传学诊断技术平台优化及应用研究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广州市妇女儿童医疗中心柳州医院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分子诊断教育部工程研究中心（厦门大学）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范莉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2023YRZ0103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智能碳纤维拉索索力时程感知与疲劳寿命评估方法研究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邓朗妮</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2023JRZ0101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基于环保型固体泡沫的森林高效控灭火技术研究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中国矿业大学（北京）</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2023JRZ0102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卧式下肢康复训练机器人的开发与应用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自由探索类基础研究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李健</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2023JRZ0103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广西工程机械低碳数智技术创新中心建设</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科技创新基地建设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广西柳工机械股份有限公司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赵明</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217</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2023PRJ0101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新能源汽车动力电池激光复合加工与连接创新平台能力建设</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科技创新基地建设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柳州宏德激光科技有限公司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湖南大学、广西科技大学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陶凯</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2023PRJ0102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东盟区域环境下高安全和长寿命电池校企联合实验室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科技创新基地建设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柳州国轩电池有限公司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广西科技大学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冯志清</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2023PRJ0103</w:t>
            </w:r>
          </w:p>
        </w:tc>
      </w:tr>
    </w:tbl>
    <w:p>
      <w:pPr>
        <w:pStyle w:val="2"/>
        <w:rPr>
          <w:rFonts w:hint="eastAsia"/>
          <w:lang w:eastAsia="zh-CN"/>
        </w:rPr>
      </w:pPr>
    </w:p>
    <w:sectPr>
      <w:headerReference r:id="rId3" w:type="default"/>
      <w:footerReference r:id="rId4" w:type="default"/>
      <w:pgSz w:w="16838" w:h="11906" w:orient="landscape"/>
      <w:pgMar w:top="1474" w:right="1985" w:bottom="1588" w:left="2098" w:header="851" w:footer="992" w:gutter="0"/>
      <w:pgNumType w:fmt="numberInDash"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6775956"/>
    </w:sdtPr>
    <w:sdtEndPr>
      <w:rPr>
        <w:rFonts w:hint="eastAsia" w:ascii="宋体" w:hAnsi="宋体"/>
        <w:sz w:val="28"/>
        <w:szCs w:val="28"/>
      </w:rPr>
    </w:sdtEndPr>
    <w:sdt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65386"/>
    <w:rsid w:val="1D6D39E4"/>
    <w:rsid w:val="27DE0DDC"/>
    <w:rsid w:val="3B665386"/>
    <w:rsid w:val="41597342"/>
    <w:rsid w:val="541571BA"/>
    <w:rsid w:val="5BD7BFE0"/>
    <w:rsid w:val="5FFFF0A2"/>
    <w:rsid w:val="6D0D7874"/>
    <w:rsid w:val="7BFFFFE5"/>
    <w:rsid w:val="7F9EEDD5"/>
    <w:rsid w:val="DEE7B364"/>
    <w:rsid w:val="FB7D536E"/>
    <w:rsid w:val="FFA7AF47"/>
    <w:rsid w:val="FFABC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jc w:val="left"/>
    </w:pPr>
    <w:rPr>
      <w:rFonts w:ascii="新宋体" w:hAnsi="新宋体" w:eastAsia="新宋体"/>
      <w:kern w:val="0"/>
      <w:sz w:val="24"/>
      <w:lang w:eastAsia="en-US"/>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2022-11-09T08:14:00Z</dcterms:created>
  <dc:creator>李鹏</dc:creator>
  <cp:lastModifiedBy>L-Zer0</cp:lastModifiedBy>
  <dcterms:modified xsi:type="dcterms:W3CDTF">2023-09-18T02:48:40Z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