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941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firstLine="420" w:firstLineChars="200"/>
        <w:jc w:val="both"/>
        <w:textAlignment w:val="auto"/>
        <w:rPr>
          <w:rFonts w:hint="eastAsia" w:ascii="Times New Roman" w:hAnsi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87C7FA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柳州市光电产业高质量发展三年行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动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方案</w:t>
      </w:r>
    </w:p>
    <w:p w14:paraId="308DEB8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firstLine="880" w:firstLineChars="20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（2026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2028年）</w:t>
      </w:r>
    </w:p>
    <w:p w14:paraId="24184FE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center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08A431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center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（征求意见稿）</w:t>
      </w:r>
    </w:p>
    <w:p w14:paraId="5BC3CE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firstLine="420" w:firstLineChars="200"/>
        <w:jc w:val="both"/>
        <w:textAlignment w:val="auto"/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47395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为深入贯彻落实国家关于加快发展新质生产力的战略部署，全面落实国家、自治区关于发展光电子信息、能源电子及战略性新兴产业的决策部署，抢抓新一轮科技革命和产业变革机遇，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据《电子信息制造业发展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十五五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规划》《关于推动能源电子产业发展的指导意见》及《广西新一代信息技术产业发展行动计划（2025—2027年）》等文件精神，全面落实全市经济工作会议精神，紧扣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10+N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现代化工业体系布局，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结合我市产业发展实际，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特制定本方案。</w:t>
      </w:r>
    </w:p>
    <w:p w14:paraId="2EEAE0A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一、发展思路</w:t>
      </w:r>
    </w:p>
    <w:p w14:paraId="20EF5E3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发展新质生产力为核心，紧扣柳州“10+N”现代化工业体系建设和国家新型工业化示范区创建目标，坚持“北上广研发+广西集成+东盟应用”发展路径，依托汽车产业配套、铟锡关键金属资源和面向东盟开放优势，以光电感知为牵引、半导体激光器件为引领、新型显示为协同，推动光电产业与汽车制造、高端装备、新材料等跨界融合，实施重大项目攻坚、产业集群招商、科技创新赋能、内外市场开拓、产业生态优化五大行动，引进一批重大项目，培育一批优质企业，突破一批关键技术，建设一批高能级平台，推动光电产业建链补链延链强链，构建创新驱动、特色鲜明、链条完整的光电产业生态体系，推动产业规模化、高端化、集群化发展。</w:t>
      </w:r>
    </w:p>
    <w:p w14:paraId="472BFF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、发展目标</w:t>
      </w:r>
    </w:p>
    <w:p w14:paraId="4897A05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到2028年，全市光电产业集聚度、创新力、竞争力全面跃升，产业链基本成型，实现量质齐升。产业规模方面，培育规模以上光电企业20家以上，其中，专精特新及高新技术企业5家及以上，年产值超10亿元的链主企业（龙头企业）1家以上，产业总体规模突破40亿元。创新能力方面，激光芯片、激光器件、高端ITO靶材实现规模化稳定量产，光通信、新型显示等短板环节有效补齐，建成1—2个自治区级光电产业创新平台与中试基地，光电产品本地配套率大幅提升。到2030年，全市光电产业年产值突破80亿元，形成“材料—器件—模组—终端应用”完整产业链，建成面向东盟的光电产品制造基地和关键金属光电材料供应基地。</w:t>
      </w:r>
    </w:p>
    <w:p w14:paraId="5942FFC6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重点发展领域</w:t>
      </w:r>
    </w:p>
    <w:p w14:paraId="7B3591D4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光电材料</w:t>
      </w:r>
    </w:p>
    <w:p w14:paraId="42BEBA7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依托柳州铟锡等关键金属冶炼加工优势，重点发展高纯铟、ITO靶材、锡基透明导电膜、磷化铟衬底等光电关键基础材料，推动关键金属从初级加工向高附加值光电功能材料延伸，突破核心制造装备，扩大氮化镓激光芯片产能。</w:t>
      </w:r>
    </w:p>
    <w:p w14:paraId="0D8362B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（二）光电感知</w:t>
      </w:r>
    </w:p>
    <w:p w14:paraId="22432E1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围绕感知、显示、照明、通信四大车载光电零部件领域，推动光电技术与新能源汽车深度融合，重点发展智能座舱显示屏、HUD抬头显示、车载激光雷达、毫米波雷达等光电感知产品，实现车载光电零部件产业从“基础照明”向“智能交互与感知融合”的跨越发展。</w:t>
      </w:r>
    </w:p>
    <w:p w14:paraId="3B5B31F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（三）激光器件</w:t>
      </w:r>
    </w:p>
    <w:p w14:paraId="14142D9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聚焦激光核心器件与智能装备，重点发展氮化镓激光芯片、光纤激光器、半导体激光模组及激光切割、焊接、3D打印等工业激光装备，构建“激光芯片—激光器件—激光装备”全产业链，依托本地应用场景推动激光装备在工业制造领域的规模化应用，打造我国西南地区激光装备制造产业集聚区。</w:t>
      </w:r>
    </w:p>
    <w:p w14:paraId="3554D8B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（四）新型显示</w:t>
      </w:r>
    </w:p>
    <w:p w14:paraId="08412BE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重点发展Micro-LED、Mini-LED、AR/VR近眼显示等新型显示技术，推动显示面板、驱动芯片、光学模组、消费电子、工业终端深度融合，构建“芯片—面板—模组—终端”协同发展格局，培育新型显示产业新增长极。</w:t>
      </w:r>
    </w:p>
    <w:p w14:paraId="15189A74">
      <w:pPr>
        <w:pStyle w:val="3"/>
        <w:keepNext w:val="0"/>
        <w:keepLines w:val="0"/>
        <w:pageBreakBefore w:val="0"/>
        <w:widowControl/>
        <w:suppressLineNumbers w:val="0"/>
        <w:tabs>
          <w:tab w:val="left" w:pos="5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、主要任务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ab/>
      </w:r>
    </w:p>
    <w:p w14:paraId="10B3412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（一）攻坚重大项目，稳固产业底盘</w:t>
      </w:r>
    </w:p>
    <w:p w14:paraId="773601D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实施光电产业重点项目梯次推进项目，建立“谋划一批、签约一批、开工一批、建设一批、竣工一批、投产一批、达产一批”动态管理机制，强化政策赋能与要素保障，夯实产业发展根基。针对未达产的重大项目，成立工作专班，落实惠企扶持政策，协调解决产能爬坡、市场拓展等问题，助力项目尽快释放产能。聚焦氮化镓激光模组、激光核心器件与智能制造产业园、半导体级玻璃晶圆及衍射光波导模组等在建项目，用好项目调度、用地、能耗等政策工具，强化专班跟踪服务推动项目加快竣工投产。抓实已立项项目推进，加快光电产业的二期项目各项落地手续办理，结合ITO靶材产能释放节奏，做好动态跟踪，待时机成熟及时启动二期项目建设。完善项目常态化服务机制，精准推送产业、科技、财税、金融等配套政策，打通项目谋划、建设、投产、达产各环节堵点，稳固柳州光电产业发展底盘。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牵头单位：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市工业和信息化局。配合单位：市园区办、市发展改革委、市自然资源和规划局、柳东新区、阳和工业新区（北部生态新区））</w:t>
      </w:r>
    </w:p>
    <w:p w14:paraId="7E431560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right="0"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strike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大力招商引资</w:t>
      </w: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，构建产业集群 </w:t>
      </w:r>
    </w:p>
    <w:p w14:paraId="4FB8C74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围绕柳州重点光电领域，依托柳州市驻外招商驻点，精准对接长三角、珠三角、武汉光谷等光电产业集聚区，实施靶向链主招商、以商引商、基金招商、平台招商，全力破解产业链断点、堵点、痛点。以光电感知为突破口，重点引进智能显示、智能感知、智能照明及高速光通信等核心项目；以激光应用终端为方向，围绕激光显示、激光加工、光通信等核心产业开展招商；以光子芯片制造为引领，争取发展光学薄膜、透镜反射镜、振镜、特种气站、电控及精密结构件等上下游产业，促进产业延链补链。支持本地龙头企业开放供应链，吸引上下游配套企业集聚柳州，形成“引进一个、带来一批、辐射一片”的集群效应。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牵头单位：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市投资促进局。配合单位：市工业和信息化局、市发展改革委、市科技局、市园区办、柳东新区、阳和工业新区（北部生态新区））</w:t>
      </w:r>
    </w:p>
    <w:p w14:paraId="706D1B54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right="0"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强化科技创新，推动产业升级</w:t>
      </w:r>
    </w:p>
    <w:p w14:paraId="7E2E29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将光电领域技术创新项目公开竞争择优推荐申报国家、自治区、柳州市科技项目，紧扣产业发展需求体系化布局各类研发项目。聚焦光电材料核心制造装备、光电感知、新型显示、激光芯片、激光应用等重点赛道，统筹建设关键技术装备创新平台与科技成果转化载体，组织骨干企业、市内外高校及科研院所开展产学研联合攻关，加快突破产业链关键核心技术瓶颈。支持具备实力的光电企业牵头组建体系化、任务型创新联合体，引导依托企业谋划建设光电产业技术创新中心、重点实验室等创新平台，争创省级、厅局级的高水平创新平台。深化与区内外高校院所科教、产教协同合作，借力光电学科资源赋能产业发展，加强基础研究、前沿技术攻关、提升原始创新能力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牵头单位：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市科技局。配合单位：市工业和信息化局、市发展改革委、市数据局、柳东新区、阳和工业新区（北部生态新区））</w:t>
      </w:r>
    </w:p>
    <w:p w14:paraId="5DBAD576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开拓内外市场，</w:t>
      </w:r>
      <w:r>
        <w:rPr>
          <w:rFonts w:hint="eastAsia" w:ascii="楷体" w:hAnsi="楷体" w:eastAsia="楷体" w:cs="楷体"/>
          <w:b w:val="0"/>
          <w:bCs w:val="0"/>
          <w:strike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拓展</w:t>
      </w: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产业空间</w:t>
      </w:r>
    </w:p>
    <w:p w14:paraId="1F18784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深度融入国内国际双循环，抓住中国（广西）自由贸易试验区柳州联动创新区和中国-东盟产业合作区协同发展政策机遇，全面拓展市场空间。扩大车载光电零部件配套体系，推动光电感知产品对接全国整车企业供应链，提升产业市场占有率。分层培优出口主体拓展海外市场，引导企业发展向海经济，巩固欧美、东盟存量市场，稳定珠光材料、高纯铟、ITO靶材、通信测试仪器出口规模；培育潜力企业补齐进出口业务能力，推动激光芯片、激光装备新品开拓海外市场。深化供需精准对接，充分利用中国-东盟博览会等平台，鼓励企业积极参加国内、国际光电专业展会、论坛，对接海内外客商，用好驻外招商链接有关订单。依托柳州整车出海通道，带动配套企业深耕东南亚市场，拓展智能显示、智能座舱、AR终端等配套外销业务，构建“柳州制造+东盟市场”开放格局。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牵头单位：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市商务局。配合单位：市发展改革委、市市场监管局、市工业和信息化局、市园区办）</w:t>
      </w:r>
    </w:p>
    <w:p w14:paraId="7C9CFDC1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right="0"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优化产业生态，健全产业体系</w:t>
      </w:r>
    </w:p>
    <w:p w14:paraId="1D08A45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按照“做强上游、补齐中游、做大下游、优化配套”思路，全面构建一体化光电产业。上游依托本地铟、锗精深加工技术优势，持续做大高端光电靶材、特种光学材料产业；中游补齐光芯片、光学模组、高速光模块、新型显示核心配套短板，实现关键器件本地化配套；下游深耕光电感知、半导体激光器件、VR/AR新型显示三大应用场景，打造特色终端产品矩阵。同步构建一体化公共服务体系，聚力完善检验检测基础设施，打造专业化中试熟化载体，提升知识产权服务效能，系统推进人才培育引进，强化多元化金融支撑，补齐供应链配套要素。优化产业空间布局，在柳东新区、北部生态新区规划建设光电专业园区，推动产业链上下游企业就近布局、协同发展，形成上下游协同、产学研融合、内外贸联动的完整产业生态，全力打造差异化、特色化、规模化的柳州光电产业集群。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牵头单位：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市工业和信息化局。配合单位：市发展改革委、市科技局、市投资促进局、市园区办、市数据局）</w:t>
      </w:r>
    </w:p>
    <w:p w14:paraId="1F4475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Times New Roman" w:hAnsi="Times New Roman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、保障措施</w:t>
      </w:r>
    </w:p>
    <w:p w14:paraId="4EA54F9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（一）加强组织领导，压实推进责任</w:t>
      </w:r>
    </w:p>
    <w:p w14:paraId="16F283C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依托全市产业攻坚小组，强化部门协同、市县联动、园区主抓的工作机制，统筹推进光电产业重大政策落地、重点项目建设、重点企业培育。严格落实“1071”产业发展推进机制、“1330”工作落实闭环机制，定期召开光电产业发展联席会议，常态化开展产业调度、问题研判、难题攻坚，对重大项目实行“一项目一专班一方案”挂图作战，汇聚各方合力推动光电产业高质量发展。</w:t>
      </w:r>
    </w:p>
    <w:p w14:paraId="377154A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强化政策支持，激发企业活力                 </w:t>
      </w:r>
    </w:p>
    <w:p w14:paraId="4F23D2D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4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充分用好用足用活国家、自治区电子信息、能源电子等领域产业政策，精准对接落实国家中小企业数字化转型试点城市、自治区新型技改及柳州市稳增长相关政策，引导企业实施智能化改造与数字化转型。对重大技术攻关、中试平台建设、国产替代产品认定等给予重点支持，探索“基金+补助”模式支持科技成果转化，同步用好“柳州工业贷”“金融惠企—研发贷”等金融工具降低企业融资成本。深化“放管服”和工业项目“标准地”改革，推行全链条并联审批，持续压缩审批时限，提速项目落地。</w:t>
      </w:r>
    </w:p>
    <w:p w14:paraId="26AB97D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（三）营造良好氛围，凝聚发展合力</w:t>
      </w:r>
    </w:p>
    <w:p w14:paraId="40FFC1D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加强产业政策、发展成效、典型案例的宣传解读，充分利用各类媒体平台，全方位展示柳州光电产业发展成果、良好生态与投资机遇，凝聚全社会关心支持产业发展的共识。大力弘扬企业家精神、工匠精神和创新精神，选树一批光电产业先进典型，激励企业敢闯敢干、敢为人先。持续优化营商环境，构建亲清统一的新型政商关系，做到“有求必应、无事不扰”，畅通政企沟通渠道。定期举办光电产业生态合作大会，推动“会、展、招”联动，提升柳州光电产业区域影响力，形成上下同心、齐抓共促、竞相发展的良好局面。</w:t>
      </w:r>
    </w:p>
    <w:p w14:paraId="6676126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12A2794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仿宋_GB2312"/>
          <w:color w:val="auto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附件：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 xml:space="preserve">1.柳州市光电产业链全景图 </w:t>
      </w:r>
    </w:p>
    <w:p w14:paraId="2B2B464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 xml:space="preserve">柳州市光电产业招商推进路线图 </w:t>
      </w:r>
    </w:p>
    <w:p w14:paraId="2BDE536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柳州市光电产业重点项目表</w:t>
      </w:r>
    </w:p>
    <w:p w14:paraId="158DDA9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 w14:paraId="50F4D7A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 w14:paraId="5A1EA33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</w:p>
    <w:p w14:paraId="7F22381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（此件删减发布）</w:t>
      </w:r>
    </w:p>
    <w:p w14:paraId="0DF1679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FF0000"/>
          <w:sz w:val="32"/>
          <w:szCs w:val="32"/>
          <w:lang w:eastAsia="zh-CN"/>
        </w:rPr>
      </w:pPr>
    </w:p>
    <w:p w14:paraId="0845E8A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FF0000"/>
          <w:sz w:val="32"/>
          <w:szCs w:val="32"/>
          <w:lang w:eastAsia="zh-CN"/>
        </w:rPr>
      </w:pPr>
    </w:p>
    <w:p w14:paraId="44BB881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FF0000"/>
          <w:sz w:val="32"/>
          <w:szCs w:val="32"/>
          <w:lang w:eastAsia="zh-CN"/>
        </w:rPr>
      </w:pPr>
    </w:p>
    <w:p w14:paraId="5CE4EBE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FF0000"/>
          <w:sz w:val="32"/>
          <w:szCs w:val="32"/>
          <w:lang w:eastAsia="zh-CN"/>
        </w:rPr>
      </w:pPr>
    </w:p>
    <w:p w14:paraId="31AE4D2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1600" w:firstLineChars="500"/>
        <w:jc w:val="both"/>
        <w:textAlignment w:val="auto"/>
        <w:rPr>
          <w:rFonts w:hint="eastAsia" w:ascii="Times New Roman" w:hAnsi="Times New Roman" w:eastAsia="仿宋_GB2312" w:cs="仿宋_GB2312"/>
          <w:color w:val="FF0000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17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D37140-1AE3-4979-BAF1-81C881BE31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0E415F0-1B93-47BC-BFF5-7E47ADFAFD4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84095B7A-BCC5-428D-8D7E-16AD432F823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8FB3941-2908-4577-AC2F-AAD0B5F19B3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9D2C6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838528">
                          <w:pPr>
                            <w:pStyle w:val="7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838528">
                    <w:pPr>
                      <w:pStyle w:val="7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D74D0"/>
    <w:multiLevelType w:val="singleLevel"/>
    <w:tmpl w:val="CDBD74D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3FFCDF9"/>
    <w:multiLevelType w:val="singleLevel"/>
    <w:tmpl w:val="23FFCDF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42C4E"/>
    <w:rsid w:val="011E0236"/>
    <w:rsid w:val="01C71315"/>
    <w:rsid w:val="01EF572E"/>
    <w:rsid w:val="01FD7E4B"/>
    <w:rsid w:val="0293255D"/>
    <w:rsid w:val="029F0F02"/>
    <w:rsid w:val="035C6DF3"/>
    <w:rsid w:val="037936EC"/>
    <w:rsid w:val="04477AA3"/>
    <w:rsid w:val="05495B4C"/>
    <w:rsid w:val="06737E13"/>
    <w:rsid w:val="06FA5E5F"/>
    <w:rsid w:val="07B54D24"/>
    <w:rsid w:val="09354A0A"/>
    <w:rsid w:val="0A0106F5"/>
    <w:rsid w:val="0BF70001"/>
    <w:rsid w:val="0D923CC0"/>
    <w:rsid w:val="0DFE7425"/>
    <w:rsid w:val="0E0A401C"/>
    <w:rsid w:val="0E4868F2"/>
    <w:rsid w:val="0EDE785D"/>
    <w:rsid w:val="0F1B7B63"/>
    <w:rsid w:val="0F3F502D"/>
    <w:rsid w:val="0F7B0D97"/>
    <w:rsid w:val="0FC65D20"/>
    <w:rsid w:val="0FDE750E"/>
    <w:rsid w:val="0FE539AF"/>
    <w:rsid w:val="11377B38"/>
    <w:rsid w:val="113D0264"/>
    <w:rsid w:val="113D2012"/>
    <w:rsid w:val="131B08DA"/>
    <w:rsid w:val="13645F7C"/>
    <w:rsid w:val="151020BA"/>
    <w:rsid w:val="153D68B5"/>
    <w:rsid w:val="15542C4E"/>
    <w:rsid w:val="16315EBE"/>
    <w:rsid w:val="17700A92"/>
    <w:rsid w:val="17761A11"/>
    <w:rsid w:val="179514F3"/>
    <w:rsid w:val="17CB698A"/>
    <w:rsid w:val="19E25E4D"/>
    <w:rsid w:val="1AF851FC"/>
    <w:rsid w:val="1C626DD1"/>
    <w:rsid w:val="1E761259"/>
    <w:rsid w:val="1F7F5EEC"/>
    <w:rsid w:val="1F861028"/>
    <w:rsid w:val="20436F19"/>
    <w:rsid w:val="20AC2D10"/>
    <w:rsid w:val="20D67D8D"/>
    <w:rsid w:val="20DB53A4"/>
    <w:rsid w:val="21621621"/>
    <w:rsid w:val="21CC6DDA"/>
    <w:rsid w:val="2228123E"/>
    <w:rsid w:val="22356D36"/>
    <w:rsid w:val="22600256"/>
    <w:rsid w:val="22AA564D"/>
    <w:rsid w:val="241E6196"/>
    <w:rsid w:val="241F58C5"/>
    <w:rsid w:val="256718FC"/>
    <w:rsid w:val="25B54415"/>
    <w:rsid w:val="2629095F"/>
    <w:rsid w:val="26A91D83"/>
    <w:rsid w:val="27561C28"/>
    <w:rsid w:val="291D3840"/>
    <w:rsid w:val="29A22578"/>
    <w:rsid w:val="29EB7410"/>
    <w:rsid w:val="2A1B4A63"/>
    <w:rsid w:val="2F261EE0"/>
    <w:rsid w:val="303B2DAE"/>
    <w:rsid w:val="30731155"/>
    <w:rsid w:val="31566006"/>
    <w:rsid w:val="33614F37"/>
    <w:rsid w:val="336D2B05"/>
    <w:rsid w:val="336E20A7"/>
    <w:rsid w:val="354068F2"/>
    <w:rsid w:val="358E78B1"/>
    <w:rsid w:val="36507EAE"/>
    <w:rsid w:val="369167D9"/>
    <w:rsid w:val="36C50230"/>
    <w:rsid w:val="36E83F1F"/>
    <w:rsid w:val="375F041E"/>
    <w:rsid w:val="37B564F7"/>
    <w:rsid w:val="380500CD"/>
    <w:rsid w:val="3A5B3385"/>
    <w:rsid w:val="3BB07762"/>
    <w:rsid w:val="3C695C95"/>
    <w:rsid w:val="3CB72D11"/>
    <w:rsid w:val="3CD16843"/>
    <w:rsid w:val="3D1C1907"/>
    <w:rsid w:val="3DB64F42"/>
    <w:rsid w:val="3DE23DBE"/>
    <w:rsid w:val="3E486D25"/>
    <w:rsid w:val="3E8A248B"/>
    <w:rsid w:val="3EAB41B0"/>
    <w:rsid w:val="3EBA2FE7"/>
    <w:rsid w:val="3F5F6FE0"/>
    <w:rsid w:val="43E066A9"/>
    <w:rsid w:val="463B406B"/>
    <w:rsid w:val="46B22304"/>
    <w:rsid w:val="475D02E0"/>
    <w:rsid w:val="49192CF0"/>
    <w:rsid w:val="49417BEA"/>
    <w:rsid w:val="4A0C1722"/>
    <w:rsid w:val="4A946FE6"/>
    <w:rsid w:val="4ACF1226"/>
    <w:rsid w:val="4B0B04B0"/>
    <w:rsid w:val="4B7D0C82"/>
    <w:rsid w:val="4BB52B12"/>
    <w:rsid w:val="4BFA0524"/>
    <w:rsid w:val="4C0D46FC"/>
    <w:rsid w:val="4C2F01CE"/>
    <w:rsid w:val="4E7C3473"/>
    <w:rsid w:val="4F840831"/>
    <w:rsid w:val="4FA40ED3"/>
    <w:rsid w:val="505A594B"/>
    <w:rsid w:val="506D39BB"/>
    <w:rsid w:val="51A35035"/>
    <w:rsid w:val="520B348B"/>
    <w:rsid w:val="521C2FA3"/>
    <w:rsid w:val="52BB6C5F"/>
    <w:rsid w:val="53154C25"/>
    <w:rsid w:val="53CE571F"/>
    <w:rsid w:val="548B3705"/>
    <w:rsid w:val="55F37769"/>
    <w:rsid w:val="576E31DC"/>
    <w:rsid w:val="57D367F9"/>
    <w:rsid w:val="58BA52C3"/>
    <w:rsid w:val="590B4DC0"/>
    <w:rsid w:val="5B5E0630"/>
    <w:rsid w:val="5C9A1694"/>
    <w:rsid w:val="5CF07506"/>
    <w:rsid w:val="5D095E94"/>
    <w:rsid w:val="5DF72B16"/>
    <w:rsid w:val="5E4D0988"/>
    <w:rsid w:val="5E9D546B"/>
    <w:rsid w:val="5EB91C34"/>
    <w:rsid w:val="5F7A57AC"/>
    <w:rsid w:val="61CB6793"/>
    <w:rsid w:val="628F156F"/>
    <w:rsid w:val="630C65AB"/>
    <w:rsid w:val="64122457"/>
    <w:rsid w:val="65654809"/>
    <w:rsid w:val="66540B05"/>
    <w:rsid w:val="66E77BCB"/>
    <w:rsid w:val="679715F1"/>
    <w:rsid w:val="67E1461B"/>
    <w:rsid w:val="67EE5FC4"/>
    <w:rsid w:val="67F105D6"/>
    <w:rsid w:val="685F28B3"/>
    <w:rsid w:val="68F0088D"/>
    <w:rsid w:val="69252C2D"/>
    <w:rsid w:val="699A5258"/>
    <w:rsid w:val="6A556ABF"/>
    <w:rsid w:val="6B563571"/>
    <w:rsid w:val="6B8F555B"/>
    <w:rsid w:val="6B9B0780"/>
    <w:rsid w:val="6C5A355C"/>
    <w:rsid w:val="6C951E77"/>
    <w:rsid w:val="6C9C4FB4"/>
    <w:rsid w:val="6E602011"/>
    <w:rsid w:val="6EDA7F3B"/>
    <w:rsid w:val="6F653D83"/>
    <w:rsid w:val="6F8F2BAE"/>
    <w:rsid w:val="6F9B2194"/>
    <w:rsid w:val="6FB60C00"/>
    <w:rsid w:val="701E2184"/>
    <w:rsid w:val="707C77C0"/>
    <w:rsid w:val="70815E10"/>
    <w:rsid w:val="708244C1"/>
    <w:rsid w:val="7101188A"/>
    <w:rsid w:val="72C76064"/>
    <w:rsid w:val="72E4193A"/>
    <w:rsid w:val="730438B3"/>
    <w:rsid w:val="732D6BCC"/>
    <w:rsid w:val="73A429A0"/>
    <w:rsid w:val="745308CB"/>
    <w:rsid w:val="74AF5AA0"/>
    <w:rsid w:val="753A7A60"/>
    <w:rsid w:val="775D78AB"/>
    <w:rsid w:val="77640DC4"/>
    <w:rsid w:val="78193DA7"/>
    <w:rsid w:val="78252E52"/>
    <w:rsid w:val="78D43D28"/>
    <w:rsid w:val="78D855C6"/>
    <w:rsid w:val="7A592736"/>
    <w:rsid w:val="7A8377B3"/>
    <w:rsid w:val="7B1448AF"/>
    <w:rsid w:val="7B9D6653"/>
    <w:rsid w:val="7C093CE8"/>
    <w:rsid w:val="7CF90201"/>
    <w:rsid w:val="7D8D706A"/>
    <w:rsid w:val="7DEB18F7"/>
    <w:rsid w:val="7EF24F07"/>
    <w:rsid w:val="7F4A08A0"/>
    <w:rsid w:val="7F572FBC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next w:val="1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First Paragraph"/>
    <w:basedOn w:val="6"/>
    <w:next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521</Words>
  <Characters>541</Characters>
  <Lines>0</Lines>
  <Paragraphs>0</Paragraphs>
  <TotalTime>42</TotalTime>
  <ScaleCrop>false</ScaleCrop>
  <LinksUpToDate>false</LinksUpToDate>
  <CharactersWithSpaces>541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2026-09-23T10:16:00Z</dcterms:created>
  <dc:creator>v</dc:creator>
  <cp:lastModifiedBy>v</cp:lastModifiedBy>
  <cp:lastPrinted>2026-10-19T15:00:00Z</cp:lastPrinted>
  <dcterms:modified xsi:type="dcterms:W3CDTF">2026-10-29T08:06:09Z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C3AF8F1B578E48C68D7BDFA48F080FDD_11</vt:lpwstr>
  </property>
  <property fmtid="{D5CDD505-2E9C-101B-9397-08002B2CF9AE}" pid="4" name="KSOTemplateDocerSaveRecord">
    <vt:lpwstr>eyJoZGlkIjoiMzEwNTM5NzYwMDRjMzkwZTVkZjY2ODkwMGIxNGU0OTUiLCJ1c2VySWQiOiI2ODE3NTMxOTcifQ==</vt:lpwstr>
  </property>
</Properties>
</file>