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2</w:t>
      </w: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r>
        <w:rPr>
          <w:rFonts w:hint="eastAsia" w:eastAsia="方正小标宋简体"/>
          <w:sz w:val="44"/>
          <w:szCs w:val="44"/>
        </w:rPr>
        <w:t>不通过验收的柳州市科技计划项目公示表</w:t>
      </w:r>
    </w:p>
    <w:tbl>
      <w:tblPr>
        <w:tblStyle w:val="6"/>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50"/>
        <w:gridCol w:w="3676"/>
        <w:gridCol w:w="1691"/>
        <w:gridCol w:w="21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0" w:type="dxa"/>
          <w:jc w:val="center"/>
        </w:trPr>
        <w:tc>
          <w:tcPr>
            <w:tcW w:w="1450" w:type="dxa"/>
            <w:tcBorders>
              <w:top w:val="single" w:color="auto" w:sz="4" w:space="0"/>
              <w:left w:val="single" w:color="auto" w:sz="6"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项目名称</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8"/>
                <w:szCs w:val="28"/>
                <w:lang w:val="en-US" w:eastAsia="zh-CN"/>
              </w:rPr>
              <w:t>零碳合成：电诱导大宗化学品的高价值转化研究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合同编号</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2024SB0101A00</w:t>
            </w:r>
            <w:r>
              <w:rPr>
                <w:rFonts w:hint="default" w:ascii="Times New Roman" w:hAnsi="Times New Roman" w:eastAsia="仿宋_GB2312" w:cs="Times New Roman"/>
                <w:color w:val="auto"/>
                <w:sz w:val="28"/>
                <w:szCs w:val="28"/>
                <w:lang w:val="en-US" w:eastAsia="zh-CN"/>
              </w:rPr>
              <w:t>1</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负责人</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梁邢安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验收地点</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柳州职业技术学院</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验收时间</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2025.6.23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1"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验收主持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单位</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柳州市科学技术情报研究所</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验收结论</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8"/>
                <w:szCs w:val="28"/>
                <w:lang w:val="en-US" w:eastAsia="zh-CN"/>
              </w:rPr>
              <w:t>不通过验收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3"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完成单位</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仿宋_GB2312" w:cs="Times New Roman"/>
                <w:color w:val="FF0000"/>
                <w:sz w:val="24"/>
                <w:szCs w:val="24"/>
                <w:lang w:eastAsia="zh-CN"/>
              </w:rPr>
            </w:pPr>
            <w:r>
              <w:rPr>
                <w:rFonts w:hint="eastAsia" w:ascii="Times New Roman" w:hAnsi="Times New Roman" w:eastAsia="仿宋_GB2312" w:cs="Times New Roman"/>
                <w:color w:val="auto"/>
                <w:sz w:val="28"/>
                <w:szCs w:val="28"/>
                <w:lang w:val="en-US" w:eastAsia="zh-CN"/>
              </w:rPr>
              <w:t>柳州职业技术学院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见</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2025年6月23日，受柳州市科学技术局的委托，根据《柳州市科技计划项目管理办法(修订)&gt;&gt;(柳科规(2024)3号)，《柳州科技计划项目结题管理办法(修订)&gt;&gt;(柳科规(2024)4号)，《柳州市科技发展专项资金管理办法(修订)&gt;&gt;(柳科规(2024)10号)有关规定，柳州市科学技术情报研究所组织成立专家组，在柳州市职业技术大学对其承担的"零碳合成：电诱导大宗化学品的高价值转化研究"项目(合同编号：2024SB0101A001)进行会议验收。专家组基于项目承担单位提供的项目实施工作总结，项目技术研究报告，其他佐证材料及项目组对验收材料真实性的承诺，听取了项目完成情况汇报，认真审阅了验收材料，经质询，讨论，形成验收意见如下：</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项目承担单位提供的验收材料内容不完整，不符合验收要求。</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(1)缺少新技术的证明材料；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(2)项目经费支出不合理，实验耗材，检测费发票及经费使用记录缺乏；</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(3)技术总结报告不规范，缺乏关键信息；</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(4)缺乏示范点或应用场景的现场照片；</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(5)缺少团体标准立项的证明。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项目技术指标完成情况：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(1)申请发明专利1项：</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(2)实现零碳合成无二氧化碳排放的化工工艺，取得一定的社会效益。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项目自筹经费25万元按时拨付到位，已使用36.24万元。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综上所述，项目未完成合同约定的主要考核指标，根据《柳州市科技计划项目结题管理办法(修订)&gt;&gt;(柳科规(2024)4号)第二十六条，在项目实施期限内完成项目合同约定的考核指标任务未达到90%以上(含本数)，且项目材料不符合规范性，完备性的要求，专家组不同意通过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局</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长</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办</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公</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意</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见</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（1）项目</w:t>
            </w:r>
            <w:r>
              <w:rPr>
                <w:rFonts w:hint="eastAsia" w:ascii="Times New Roman" w:hAnsi="Times New Roman" w:eastAsia="仿宋_GB2312" w:cs="Times New Roman"/>
                <w:color w:val="auto"/>
                <w:sz w:val="28"/>
                <w:szCs w:val="28"/>
                <w:lang w:val="en-US" w:eastAsia="zh-CN"/>
              </w:rPr>
              <w:t>不予</w:t>
            </w:r>
            <w:r>
              <w:rPr>
                <w:rFonts w:hint="default" w:ascii="Times New Roman" w:hAnsi="Times New Roman" w:eastAsia="仿宋_GB2312" w:cs="Times New Roman"/>
                <w:color w:val="auto"/>
                <w:sz w:val="28"/>
                <w:szCs w:val="28"/>
                <w:lang w:val="en-US" w:eastAsia="zh-CN"/>
              </w:rPr>
              <w:t>通过验收；</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（2）按“不通过验收”发放验收证书</w:t>
            </w:r>
            <w:r>
              <w:rPr>
                <w:rFonts w:hint="eastAsia" w:ascii="Times New Roman" w:hAnsi="Times New Roman" w:eastAsia="仿宋_GB2312" w:cs="Times New Roman"/>
                <w:color w:val="auto"/>
                <w:sz w:val="28"/>
                <w:szCs w:val="28"/>
                <w:lang w:val="en-US" w:eastAsia="zh-CN"/>
              </w:rPr>
              <w:t>。</w:t>
            </w:r>
          </w:p>
        </w:tc>
      </w:tr>
    </w:tbl>
    <w:p>
      <w:pPr>
        <w:pStyle w:val="2"/>
        <w:rPr>
          <w:rFonts w:hint="default" w:ascii="Times New Roman" w:hAnsi="Times New Roman" w:eastAsia="黑体" w:cs="Times New Roman"/>
          <w:color w:val="auto"/>
          <w:sz w:val="32"/>
          <w:szCs w:val="32"/>
          <w:highlight w:val="none"/>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r>
        <w:rPr>
          <w:rFonts w:hint="eastAsia" w:eastAsia="方正小标宋简体"/>
          <w:sz w:val="44"/>
          <w:szCs w:val="44"/>
        </w:rPr>
        <w:t>不通过验收的柳州市科技计划项目公示表</w:t>
      </w:r>
    </w:p>
    <w:tbl>
      <w:tblPr>
        <w:tblStyle w:val="6"/>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50"/>
        <w:gridCol w:w="3676"/>
        <w:gridCol w:w="1691"/>
        <w:gridCol w:w="21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0" w:type="dxa"/>
          <w:jc w:val="center"/>
        </w:trPr>
        <w:tc>
          <w:tcPr>
            <w:tcW w:w="1450" w:type="dxa"/>
            <w:tcBorders>
              <w:top w:val="single" w:color="auto" w:sz="4" w:space="0"/>
              <w:left w:val="single" w:color="auto" w:sz="6"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项目名称</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hAECs-Exo促进结膜杯状细胞增殖及其分子机制研究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合同编号</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2022CAC0106</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333333"/>
                <w:sz w:val="24"/>
                <w:szCs w:val="24"/>
                <w:lang w:val="en-US" w:eastAsia="zh-CN"/>
              </w:rPr>
            </w:pPr>
            <w:r>
              <w:rPr>
                <w:rFonts w:hint="default" w:ascii="Times New Roman" w:hAnsi="Times New Roman" w:eastAsia="仿宋_GB2312" w:cs="Times New Roman"/>
                <w:color w:val="333333"/>
                <w:sz w:val="24"/>
                <w:szCs w:val="24"/>
                <w:lang w:val="en-US" w:eastAsia="zh-CN"/>
              </w:rPr>
              <w:t>负责人</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杨水平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验收地点</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柳州市人民医院</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333333"/>
                <w:sz w:val="24"/>
                <w:szCs w:val="24"/>
                <w:lang w:val="en-US" w:eastAsia="zh-CN"/>
              </w:rPr>
            </w:pPr>
            <w:r>
              <w:rPr>
                <w:rFonts w:hint="default" w:ascii="Times New Roman" w:hAnsi="Times New Roman" w:eastAsia="仿宋_GB2312" w:cs="Times New Roman"/>
                <w:color w:val="333333"/>
                <w:sz w:val="24"/>
                <w:szCs w:val="24"/>
                <w:lang w:val="en-US" w:eastAsia="zh-CN"/>
              </w:rPr>
              <w:t>验收时间</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2025.12.5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1"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验收主持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单位</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柳州市科学技术情报研究所</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333333"/>
                <w:sz w:val="24"/>
                <w:szCs w:val="24"/>
                <w:lang w:val="en-US" w:eastAsia="zh-CN"/>
              </w:rPr>
            </w:pPr>
            <w:r>
              <w:rPr>
                <w:rFonts w:hint="default" w:ascii="Times New Roman" w:hAnsi="Times New Roman" w:eastAsia="仿宋_GB2312" w:cs="Times New Roman"/>
                <w:color w:val="333333"/>
                <w:sz w:val="24"/>
                <w:szCs w:val="24"/>
                <w:lang w:val="en-US" w:eastAsia="zh-CN"/>
              </w:rPr>
              <w:t>验收结论</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不通过验收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3"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完成单位</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仿宋_GB2312" w:cs="Times New Roman"/>
                <w:color w:val="FF0000"/>
                <w:sz w:val="24"/>
                <w:szCs w:val="24"/>
                <w:lang w:eastAsia="zh-CN"/>
              </w:rPr>
            </w:pPr>
            <w:r>
              <w:rPr>
                <w:rFonts w:hint="eastAsia" w:ascii="Times New Roman" w:hAnsi="Times New Roman" w:eastAsia="仿宋_GB2312" w:cs="Times New Roman"/>
                <w:color w:val="auto"/>
                <w:sz w:val="28"/>
                <w:szCs w:val="28"/>
                <w:lang w:val="en-US" w:eastAsia="zh-CN"/>
              </w:rPr>
              <w:t>柳州市人民医院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见</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2025年12月5日，受柳州市科学技术局局的委托，根据《柳州市科技计划项目管理办法(修订)&gt;&gt;(柳科规(2024)3号)，《柳州市科技计划项目结题管理办法(修订)&gt;&gt;(柳科规(2024)4号)，《柳州市科技发展专项资金管理办法(修订)&gt;&gt;(柳科规(2024)10号)有关规定，柳州市科学技术情报研究所组织成立专家组，在柳州市人民医院对其承担的"hAECs-Exo促进结膜杯状细胞增殖及其分子机制研究"项目(合同编号：2022CAC0106)进行会议验收。专家组基于项目承担单位提供的工作总结，技术总结，其他佐证材料及项目组对验收材料真实性的承诺，听取了项目完成情况汇报，认真审阅了验收材料，经质询，讨论，形成验收意见如下：</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1。项目承担单位提供的验收材料齐全，符合验收要求。</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2。项目在实施期间，完成了系统的文献检索与分析，明确了研究方向与理论基础，同时，成功培养了一名硕士研究生，在人才培养方面完成了合同指标。</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然而，项目在实验研究阶段遇到了预期之外的重大技术挑战。主要是hAECs来源的外泌体提取与高纯度鉴定，以及人结膜杯状细胞的原代培养与稳定传代体系未能成功建立。这些技术瓶颈暂时无法攻克，直接导致合同约定的两项核心技术指标未能完成，相关论文成果也因此无法产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4。项目科技经费按时拨付到位8万元，实际支出0.16万元，经费使用符合相关规定，结余7.84万元。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综上所述，该项目未完成合同约定的主要考核指标，根据《柳州市科技计划项目结题管理办法(修订)&gt;&gt;(柳科规(2024)4号)第二十七条，不符合通过验收的条件，专家组不同意通过验收。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局</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长</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办</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公</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意</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见</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（1）项目</w:t>
            </w:r>
            <w:r>
              <w:rPr>
                <w:rFonts w:hint="eastAsia" w:ascii="Times New Roman" w:hAnsi="Times New Roman" w:eastAsia="仿宋_GB2312" w:cs="Times New Roman"/>
                <w:color w:val="auto"/>
                <w:sz w:val="28"/>
                <w:szCs w:val="28"/>
                <w:lang w:val="en-US" w:eastAsia="zh-CN"/>
              </w:rPr>
              <w:t>不予</w:t>
            </w:r>
            <w:r>
              <w:rPr>
                <w:rFonts w:hint="default" w:ascii="Times New Roman" w:hAnsi="Times New Roman" w:eastAsia="仿宋_GB2312" w:cs="Times New Roman"/>
                <w:color w:val="auto"/>
                <w:sz w:val="28"/>
                <w:szCs w:val="28"/>
                <w:lang w:val="en-US" w:eastAsia="zh-CN"/>
              </w:rPr>
              <w:t>通过验收；</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（2）按“不通过验收”发放验收证书</w:t>
            </w:r>
            <w:r>
              <w:rPr>
                <w:rFonts w:hint="eastAsia" w:ascii="Times New Roman" w:hAnsi="Times New Roman" w:eastAsia="仿宋_GB2312" w:cs="Times New Roman"/>
                <w:color w:val="auto"/>
                <w:sz w:val="28"/>
                <w:szCs w:val="28"/>
                <w:lang w:val="en-US" w:eastAsia="zh-CN"/>
              </w:rPr>
              <w:t>。</w:t>
            </w:r>
          </w:p>
        </w:tc>
      </w:tr>
    </w:tbl>
    <w:p>
      <w:pPr>
        <w:pStyle w:val="2"/>
        <w:rPr>
          <w:rFonts w:hint="default" w:ascii="Times New Roman" w:hAnsi="Times New Roman" w:eastAsia="黑体" w:cs="Times New Roman"/>
          <w:sz w:val="32"/>
          <w:szCs w:val="32"/>
          <w:highlight w:val="none"/>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r>
        <w:rPr>
          <w:rFonts w:hint="eastAsia" w:eastAsia="方正小标宋简体"/>
          <w:sz w:val="44"/>
          <w:szCs w:val="44"/>
        </w:rPr>
        <w:t>不通过验收的柳州市科技计划项目公示表</w:t>
      </w:r>
    </w:p>
    <w:tbl>
      <w:tblPr>
        <w:tblStyle w:val="6"/>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50"/>
        <w:gridCol w:w="3676"/>
        <w:gridCol w:w="1691"/>
        <w:gridCol w:w="21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0" w:type="dxa"/>
          <w:jc w:val="center"/>
        </w:trPr>
        <w:tc>
          <w:tcPr>
            <w:tcW w:w="1450" w:type="dxa"/>
            <w:tcBorders>
              <w:top w:val="single" w:color="auto" w:sz="4" w:space="0"/>
              <w:left w:val="single" w:color="auto" w:sz="6"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bookmarkStart w:id="0" w:name="_GoBack"/>
            <w:bookmarkEnd w:id="0"/>
            <w:r>
              <w:rPr>
                <w:rFonts w:hint="default" w:ascii="Times New Roman" w:hAnsi="Times New Roman" w:eastAsia="仿宋_GB2312" w:cs="Times New Roman"/>
                <w:color w:val="333333"/>
                <w:sz w:val="24"/>
                <w:szCs w:val="24"/>
              </w:rPr>
              <w:t>项目名称</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8"/>
                <w:szCs w:val="28"/>
                <w:lang w:val="en-US" w:eastAsia="zh-CN"/>
              </w:rPr>
              <w:t>调节肠道微生态治疗对改善胰岛功能衰竭糖尿病血糖变异性的效果及机制的研究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合同编号</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2022CAC0101</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负责人</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周海洋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验收地点</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柳州市人民医院</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验收时间</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2025.6.23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1"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验收主持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单位</w:t>
            </w:r>
          </w:p>
        </w:tc>
        <w:tc>
          <w:tcPr>
            <w:tcW w:w="367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柳州市科学技术情报研究所</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验收结论</w:t>
            </w:r>
          </w:p>
        </w:tc>
        <w:tc>
          <w:tcPr>
            <w:tcW w:w="21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280" w:firstLineChars="1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8"/>
                <w:szCs w:val="28"/>
                <w:lang w:val="en-US" w:eastAsia="zh-CN"/>
              </w:rPr>
              <w:t>不通过验收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3"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完成单位</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仿宋_GB2312" w:cs="Times New Roman"/>
                <w:color w:val="FF0000"/>
                <w:sz w:val="24"/>
                <w:szCs w:val="24"/>
                <w:lang w:eastAsia="zh-CN"/>
              </w:rPr>
            </w:pPr>
            <w:r>
              <w:rPr>
                <w:rFonts w:hint="eastAsia" w:ascii="Times New Roman" w:hAnsi="Times New Roman" w:eastAsia="仿宋_GB2312" w:cs="Times New Roman"/>
                <w:color w:val="auto"/>
                <w:sz w:val="28"/>
                <w:szCs w:val="28"/>
                <w:lang w:val="en-US" w:eastAsia="zh-CN"/>
              </w:rPr>
              <w:t>柳州市人民医院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见</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2025年12月4日，受柳州市科学技术局的委托，根据《柳州市科技计划项目管理办法(修订)&gt;&gt;(柳科规(2024)3号)，《柳州市科技计划项目结题管理办法(修订)&gt;&gt;(柳科规(2024)4号)，《柳州市科技发展专项资金管理办法(修订)&gt;&gt;(柳科规(2024)10号)有关规定，柳州市科学技术情报研究所组织成立专家组，在柳州市人民医院对其承担的"调节肠道微生态治疗对改善胰岛功能衰竭糖尿病血糖变异性的效果及机制的研究"项目(合同编号：2022CAC0101)进行会议验收。专家组基于项目承担单位提供的工作总结，技术总结，其他佐证材料及项目组对验收材料真实性的承诺，听取了项目完成情况汇报，认真审阅了验收材料，经质询，讨论，形成验收意见如下：</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项目承担单位提供的验收材料齐全，符合验收要求。</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研究通过评价25例1型糖尿病患者，在标准空腹+餐时胰岛素治疗前提下，使用益生菌或膳食纤维干预，干预时间6个月，在干预前后，进行肠道菌群16srDNA测序及代谢组学分析，肠-胰岛轴相关激素测定和动态葡萄糖监测，研究各方案对肠道微生态，肠-胰岛轴和血糖变异性的影响。纤维素组和益生菌组均出现肠道微生态改变，a多样性和多样性发生了明显变化。膳食纤维干预丰富了双歧杆菌和类杆菌等有益菌属，且引起比益生菌干预更广泛的肠道菌群重塑；膳食纤维素组血糖变异性降低，血糖达标时间提高，肠道微生态中，益生菌组则无显著变化。研究显示膳食纤维和益生菌均可调节1型糖尿病患者肠道微生态，但仅膳食纤维可以改善血糖稳定性。</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已录用SCI论文1篇，但未在合同期限内发表；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项目科技经费按时拨付到位8万元，已使用的5.57974万元符合科技经费管理相关规定，结余2.42026万元。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综上所述，项目未完成合同约定的主要考核指标，根据《柳州市科技计划项目结题管理办法》(柳科规(2024)4号)第二十六条，不符合通过验收的条件，专家组不同意通过验收。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jc w:val="center"/>
        </w:trPr>
        <w:tc>
          <w:tcPr>
            <w:tcW w:w="14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局</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长</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办</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公</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意</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见</w:t>
            </w:r>
          </w:p>
        </w:tc>
        <w:tc>
          <w:tcPr>
            <w:tcW w:w="756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（1）项目</w:t>
            </w:r>
            <w:r>
              <w:rPr>
                <w:rFonts w:hint="eastAsia" w:ascii="Times New Roman" w:hAnsi="Times New Roman" w:eastAsia="仿宋_GB2312" w:cs="Times New Roman"/>
                <w:color w:val="auto"/>
                <w:sz w:val="28"/>
                <w:szCs w:val="28"/>
                <w:lang w:val="en-US" w:eastAsia="zh-CN"/>
              </w:rPr>
              <w:t>不予</w:t>
            </w:r>
            <w:r>
              <w:rPr>
                <w:rFonts w:hint="default" w:ascii="Times New Roman" w:hAnsi="Times New Roman" w:eastAsia="仿宋_GB2312" w:cs="Times New Roman"/>
                <w:color w:val="auto"/>
                <w:sz w:val="28"/>
                <w:szCs w:val="28"/>
                <w:lang w:val="en-US" w:eastAsia="zh-CN"/>
              </w:rPr>
              <w:t>通过验收；</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（2）按“不通过验收”发放验收证书</w:t>
            </w:r>
            <w:r>
              <w:rPr>
                <w:rFonts w:hint="eastAsia" w:ascii="Times New Roman" w:hAnsi="Times New Roman" w:eastAsia="仿宋_GB2312" w:cs="Times New Roman"/>
                <w:color w:val="auto"/>
                <w:sz w:val="28"/>
                <w:szCs w:val="28"/>
                <w:lang w:val="en-US" w:eastAsia="zh-CN"/>
              </w:rPr>
              <w:t>。</w:t>
            </w:r>
          </w:p>
        </w:tc>
      </w:tr>
    </w:tbl>
    <w:p>
      <w:pPr>
        <w:pStyle w:val="2"/>
        <w:rPr>
          <w:rFonts w:hint="default" w:ascii="Times New Roman" w:hAnsi="Times New Roman" w:eastAsia="黑体" w:cs="Times New Roman"/>
          <w:sz w:val="32"/>
          <w:szCs w:val="32"/>
          <w:highlight w:val="none"/>
        </w:rPr>
      </w:pPr>
    </w:p>
    <w:p>
      <w:pPr>
        <w:pStyle w:val="2"/>
        <w:rPr>
          <w:rFonts w:hint="default" w:ascii="Times New Roman" w:hAnsi="Times New Roman" w:eastAsia="黑体" w:cs="Times New Roman"/>
          <w:sz w:val="32"/>
          <w:szCs w:val="32"/>
          <w:highlight w:val="none"/>
        </w:rPr>
      </w:pPr>
    </w:p>
    <w:p>
      <w:pPr>
        <w:pStyle w:val="2"/>
        <w:rPr>
          <w:rFonts w:hint="default" w:ascii="Times New Roman" w:hAnsi="Times New Roman" w:eastAsia="黑体" w:cs="Times New Roman"/>
          <w:sz w:val="32"/>
          <w:szCs w:val="32"/>
          <w:highlight w:val="none"/>
        </w:rPr>
      </w:pPr>
    </w:p>
    <w:p/>
    <w:sectPr>
      <w:footerReference r:id="rId3" w:type="default"/>
      <w:pgSz w:w="11906" w:h="16838"/>
      <w:pgMar w:top="2098" w:right="1417"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NWE4YTc2YTgyYjU1NjdkNTUyZjdkZmNjYTcxYjYifQ=="/>
  </w:docVars>
  <w:rsids>
    <w:rsidRoot w:val="AF553F35"/>
    <w:rsid w:val="00D31F9C"/>
    <w:rsid w:val="0B3FB26A"/>
    <w:rsid w:val="0B711B46"/>
    <w:rsid w:val="0BAE1166"/>
    <w:rsid w:val="0CFFCF39"/>
    <w:rsid w:val="0FF3FF0D"/>
    <w:rsid w:val="216FA847"/>
    <w:rsid w:val="28BDCFD4"/>
    <w:rsid w:val="2EFB04CB"/>
    <w:rsid w:val="37EF049A"/>
    <w:rsid w:val="3D151620"/>
    <w:rsid w:val="3E7F3331"/>
    <w:rsid w:val="3EFF2C68"/>
    <w:rsid w:val="3F5EC1E1"/>
    <w:rsid w:val="3F77C874"/>
    <w:rsid w:val="3FF9B586"/>
    <w:rsid w:val="4F5B8E73"/>
    <w:rsid w:val="4FE8FB41"/>
    <w:rsid w:val="55F7D943"/>
    <w:rsid w:val="57DFEA7F"/>
    <w:rsid w:val="597FBA04"/>
    <w:rsid w:val="5BFFC847"/>
    <w:rsid w:val="5DDF68C6"/>
    <w:rsid w:val="5EEE0C02"/>
    <w:rsid w:val="5EEFE909"/>
    <w:rsid w:val="5EFD41B2"/>
    <w:rsid w:val="5F3951ED"/>
    <w:rsid w:val="5FEC3A95"/>
    <w:rsid w:val="667F9F24"/>
    <w:rsid w:val="6AFD36E5"/>
    <w:rsid w:val="6D79D406"/>
    <w:rsid w:val="6DFFE3E1"/>
    <w:rsid w:val="6F75BC6D"/>
    <w:rsid w:val="6FBD3CD6"/>
    <w:rsid w:val="6FE22BC9"/>
    <w:rsid w:val="6FE91DE7"/>
    <w:rsid w:val="6FF79496"/>
    <w:rsid w:val="712815B5"/>
    <w:rsid w:val="77CE7F0B"/>
    <w:rsid w:val="77FB59C4"/>
    <w:rsid w:val="79EBB156"/>
    <w:rsid w:val="7AF79CCB"/>
    <w:rsid w:val="7BCB32F6"/>
    <w:rsid w:val="7BFABF8B"/>
    <w:rsid w:val="7BFFBE73"/>
    <w:rsid w:val="7CFFE009"/>
    <w:rsid w:val="7D7C6D00"/>
    <w:rsid w:val="7DFE6BC9"/>
    <w:rsid w:val="7DFEE1B7"/>
    <w:rsid w:val="7E9F0B0E"/>
    <w:rsid w:val="7EDE74E2"/>
    <w:rsid w:val="7EF4F1F9"/>
    <w:rsid w:val="7EFD3B28"/>
    <w:rsid w:val="7FB956F4"/>
    <w:rsid w:val="7FCFD18A"/>
    <w:rsid w:val="9DB74239"/>
    <w:rsid w:val="A7B62427"/>
    <w:rsid w:val="AF553F35"/>
    <w:rsid w:val="AFEFDB2A"/>
    <w:rsid w:val="B5FF5B4E"/>
    <w:rsid w:val="B7FD0546"/>
    <w:rsid w:val="BBBF5A81"/>
    <w:rsid w:val="BE9FD623"/>
    <w:rsid w:val="BEFBA66F"/>
    <w:rsid w:val="BF7B85CB"/>
    <w:rsid w:val="BF7B8B8F"/>
    <w:rsid w:val="BFB6A569"/>
    <w:rsid w:val="BFEBFB64"/>
    <w:rsid w:val="BFFF4D40"/>
    <w:rsid w:val="C7FF0C17"/>
    <w:rsid w:val="CF7B3D2D"/>
    <w:rsid w:val="CF7EBA2E"/>
    <w:rsid w:val="D36F9806"/>
    <w:rsid w:val="D67F0223"/>
    <w:rsid w:val="DBEF8BC8"/>
    <w:rsid w:val="DDF716CA"/>
    <w:rsid w:val="DFD1C670"/>
    <w:rsid w:val="E7FA3985"/>
    <w:rsid w:val="E83740A4"/>
    <w:rsid w:val="E95D0177"/>
    <w:rsid w:val="EE75C5B6"/>
    <w:rsid w:val="EFF97500"/>
    <w:rsid w:val="EFFB173F"/>
    <w:rsid w:val="F37332FA"/>
    <w:rsid w:val="F3FFDEC4"/>
    <w:rsid w:val="F5BFDF7B"/>
    <w:rsid w:val="F7BBE3FE"/>
    <w:rsid w:val="F7F05D76"/>
    <w:rsid w:val="F7FF3529"/>
    <w:rsid w:val="F9FEEDC8"/>
    <w:rsid w:val="FC71712A"/>
    <w:rsid w:val="FDFBF15E"/>
    <w:rsid w:val="FDFC02BA"/>
    <w:rsid w:val="FDFE2992"/>
    <w:rsid w:val="FE0B8074"/>
    <w:rsid w:val="FEA7FFC2"/>
    <w:rsid w:val="FEFF1EAA"/>
    <w:rsid w:val="FF2BB376"/>
    <w:rsid w:val="FF7744FA"/>
    <w:rsid w:val="FFAD2282"/>
    <w:rsid w:val="FFBA1884"/>
    <w:rsid w:val="FFCB5A46"/>
    <w:rsid w:val="FFF12D00"/>
    <w:rsid w:val="FFF3D47F"/>
    <w:rsid w:val="FFF5202E"/>
    <w:rsid w:val="FFFE31B1"/>
    <w:rsid w:val="FFFED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936</Words>
  <Characters>1016</Characters>
  <Lines>0</Lines>
  <Paragraphs>0</Paragraphs>
  <TotalTime>1</TotalTime>
  <ScaleCrop>false</ScaleCrop>
  <LinksUpToDate>false</LinksUpToDate>
  <CharactersWithSpaces>1016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2023-08-05T10:53:00Z</dcterms:created>
  <dc:creator>gxxc</dc:creator>
  <cp:lastModifiedBy>gxxc</cp:lastModifiedBy>
  <dcterms:modified xsi:type="dcterms:W3CDTF">2026-01-14T16:03:20Z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AD620BEB615A46898B6ACD17609F4A2D_12</vt:lpwstr>
  </property>
</Properties>
</file>