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eastAsia="方正小标宋简体" w:asciiTheme="minorHAnsi" w:hAnsiTheme="minorHAnsi" w:cstheme="minorBidi"/>
          <w:sz w:val="36"/>
          <w:szCs w:val="36"/>
          <w:highlight w:val="none"/>
          <w:lang w:val="en-US" w:eastAsia="zh-CN"/>
        </w:rPr>
      </w:pPr>
      <w:r>
        <w:rPr>
          <w:rFonts w:hint="default" w:eastAsia="方正小标宋简体" w:asciiTheme="minorHAnsi" w:hAnsiTheme="minorHAnsi" w:cstheme="minorBidi"/>
          <w:sz w:val="36"/>
          <w:szCs w:val="36"/>
          <w:highlight w:val="none"/>
          <w:lang w:val="en-US" w:eastAsia="zh-CN"/>
        </w:rPr>
        <w:t>通过验收的柳州市科技计划项目公示表</w:t>
      </w:r>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348"/>
        <w:gridCol w:w="2430"/>
        <w:gridCol w:w="934"/>
        <w:gridCol w:w="1281"/>
        <w:gridCol w:w="1375"/>
        <w:gridCol w:w="1118"/>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序号</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合同编号</w:t>
            </w:r>
          </w:p>
        </w:tc>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项目名称</w:t>
            </w:r>
          </w:p>
        </w:tc>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项目负责人</w:t>
            </w:r>
          </w:p>
        </w:tc>
        <w:tc>
          <w:tcPr>
            <w:tcW w:w="128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承担单位</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验收机构</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拟定验收结论</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21"/>
                <w:szCs w:val="21"/>
                <w:highlight w:val="none"/>
                <w:vertAlign w:val="baseline"/>
                <w:lang w:val="en-US" w:eastAsia="zh-CN"/>
              </w:rPr>
            </w:pPr>
            <w:r>
              <w:rPr>
                <w:rFonts w:hint="eastAsia" w:ascii="Times New Roman" w:hAnsi="Times New Roman" w:eastAsia="方正小标宋简体" w:cs="Times New Roman"/>
                <w:sz w:val="21"/>
                <w:szCs w:val="21"/>
                <w:highlight w:val="none"/>
                <w:vertAlign w:val="baseline"/>
                <w:lang w:val="en-US" w:eastAsia="zh-CN"/>
              </w:rPr>
              <w:t>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2022SRZ0101</w:t>
            </w:r>
          </w:p>
        </w:tc>
        <w:tc>
          <w:tcPr>
            <w:tcW w:w="2430" w:type="dxa"/>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航飞倾斜摄影与卫星立体影像三维建模研究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肖明虹</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广西壮族自治区地理信息测绘院,广西科技大学,武汉大势智慧科技有限公司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7</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2</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2022CAC0204</w:t>
            </w:r>
          </w:p>
        </w:tc>
        <w:tc>
          <w:tcPr>
            <w:tcW w:w="243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CCDC80调控CDH1促进胶质瘤进展的机制研究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戴文斌</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11</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3</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2022CAC0201</w:t>
            </w:r>
          </w:p>
        </w:tc>
        <w:tc>
          <w:tcPr>
            <w:tcW w:w="2430"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LncRNA CYTOR/miR-136-5p/HOXC10轴调控胃癌细胞增殖、侵袭和转移的机制研究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李竟长</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11</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4</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2022CAC0207</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miR-29b-3p通过CXCL9/CXCR3轴介导的炎症反应抑制DOX诱导心力衰竭的机制研究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刘洁</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10</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5</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2022CAC0107</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NLRP3炎症小体介导嗅觉功能减退在术后认知功能障碍中的作用研究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游志坚</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柳州市人民医院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9</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6</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2022CAC0112</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piR-hsa-1958210在卵巢癌中的功能机制研究及其在卵巢癌中的诊断和预后评估</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陈艳丽</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柳州市工人医院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12</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7</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2022SB023</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基于机器学习孕期环境暴露因素对先天性心脏病影响分析及预测模型的构建</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韩咏</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柳州市妇幼保健院</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柳州市科学技术情报研究所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10</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8</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2022SB035</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基于“物联网+AI”的结核病管理云平台构建及推广应用</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黄宝杨</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柳州市疾病预防控制中心</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10</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9</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2024SZ0505G001自</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shd w:val="clear" w:color="auto" w:fill="FFFFFF"/>
                <w:lang w:bidi="ar"/>
                <w14:textFill>
                  <w14:solidFill>
                    <w14:schemeClr w14:val="tx1"/>
                  </w14:solidFill>
                </w14:textFill>
              </w:rPr>
              <w:t>南非叶指纹图谱分析及应用研究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default" w:ascii="宋体" w:hAnsi="宋体" w:eastAsia="宋体" w:cs="宋体"/>
                <w:i w:val="0"/>
                <w:color w:val="auto"/>
                <w:kern w:val="0"/>
                <w:sz w:val="21"/>
                <w:szCs w:val="21"/>
                <w:u w:val="none"/>
                <w:lang w:val="en-US" w:eastAsia="zh-CN" w:bidi="ar"/>
              </w:rPr>
              <w:t>杨婧</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柳州市质量检验检测研究中心</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柳州市智能制造科技服务中心（自动化科学研究所）</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2025</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11</w:t>
            </w:r>
            <w:r>
              <w:rPr>
                <w:rFonts w:hint="default" w:ascii="宋体" w:hAnsi="宋体" w:eastAsia="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3"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10</w:t>
            </w:r>
          </w:p>
        </w:tc>
        <w:tc>
          <w:tcPr>
            <w:tcW w:w="134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Times New Roman" w:hAnsi="Times New Roman" w:eastAsia="等线" w:cs="Times New Roman"/>
                <w:i w:val="0"/>
                <w:iCs w:val="0"/>
                <w:color w:val="auto"/>
                <w:kern w:val="0"/>
                <w:sz w:val="20"/>
                <w:szCs w:val="20"/>
                <w:u w:val="none"/>
                <w:lang w:val="en-US" w:eastAsia="zh-CN" w:bidi="ar"/>
              </w:rPr>
              <w:t>2020GBDA0601</w:t>
            </w:r>
          </w:p>
        </w:tc>
        <w:tc>
          <w:tcPr>
            <w:tcW w:w="2430" w:type="dxa"/>
            <w:noWrap w:val="0"/>
            <w:vAlign w:val="center"/>
          </w:tcPr>
          <w:p>
            <w:pPr>
              <w:keepNext w:val="0"/>
              <w:keepLines w:val="0"/>
              <w:widowControl/>
              <w:suppressLineNumbers w:val="0"/>
              <w:jc w:val="left"/>
              <w:textAlignment w:val="center"/>
              <w:rPr>
                <w:rFonts w:hint="eastAsia" w:asciiTheme="majorEastAsia" w:hAnsiTheme="majorEastAsia" w:eastAsiaTheme="majorEastAsia" w:cstheme="majorEastAsia"/>
                <w:b w:val="0"/>
                <w:bCs w:val="0"/>
                <w:color w:val="auto"/>
                <w:kern w:val="0"/>
                <w:sz w:val="21"/>
                <w:szCs w:val="21"/>
                <w:shd w:val="clear" w:color="auto" w:fill="FFFFFF"/>
                <w:lang w:bidi="ar"/>
              </w:rPr>
            </w:pPr>
            <w:r>
              <w:rPr>
                <w:rFonts w:hint="default" w:ascii="仿宋_GB2312" w:hAnsi="Arial" w:eastAsia="仿宋_GB2312" w:cs="仿宋_GB2312"/>
                <w:i w:val="0"/>
                <w:iCs w:val="0"/>
                <w:color w:val="auto"/>
                <w:kern w:val="0"/>
                <w:sz w:val="22"/>
                <w:szCs w:val="22"/>
                <w:u w:val="none"/>
                <w:lang w:val="en-US" w:eastAsia="zh-CN" w:bidi="ar"/>
              </w:rPr>
              <w:t>医用超声波发生器及其关键技术的研究</w:t>
            </w:r>
          </w:p>
        </w:tc>
        <w:tc>
          <w:tcPr>
            <w:tcW w:w="934" w:type="dxa"/>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仿宋_GB2312" w:hAnsi="Arial" w:eastAsia="仿宋_GB2312" w:cs="仿宋_GB2312"/>
                <w:i w:val="0"/>
                <w:iCs w:val="0"/>
                <w:color w:val="auto"/>
                <w:kern w:val="0"/>
                <w:sz w:val="22"/>
                <w:szCs w:val="22"/>
                <w:u w:val="none"/>
                <w:lang w:val="en-US" w:eastAsia="zh-CN" w:bidi="ar"/>
              </w:rPr>
              <w:t>李益民</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仿宋_GB2312" w:hAnsi="Arial" w:eastAsia="仿宋_GB2312" w:cs="仿宋_GB2312"/>
                <w:i w:val="0"/>
                <w:iCs w:val="0"/>
                <w:color w:val="auto"/>
                <w:kern w:val="0"/>
                <w:sz w:val="22"/>
                <w:szCs w:val="22"/>
                <w:u w:val="none"/>
                <w:lang w:val="en-US" w:eastAsia="zh-CN" w:bidi="ar"/>
              </w:rPr>
              <w:t>广西科技大学，广西瀚德谐声医疗科技有限公司</w:t>
            </w:r>
          </w:p>
        </w:tc>
        <w:tc>
          <w:tcPr>
            <w:tcW w:w="1375"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仿宋_GB2312" w:hAnsi="Arial" w:eastAsia="仿宋_GB2312" w:cs="仿宋_GB2312"/>
                <w:i w:val="0"/>
                <w:iCs w:val="0"/>
                <w:color w:val="auto"/>
                <w:kern w:val="0"/>
                <w:sz w:val="22"/>
                <w:szCs w:val="22"/>
                <w:u w:val="none"/>
                <w:lang w:val="en-US" w:eastAsia="zh-CN" w:bidi="ar"/>
              </w:rPr>
              <w:t>广西科技经济开发中心有限公司</w:t>
            </w:r>
          </w:p>
        </w:tc>
        <w:tc>
          <w:tcPr>
            <w:tcW w:w="11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仿宋_GB2312" w:hAnsi="Arial" w:eastAsia="仿宋_GB2312" w:cs="仿宋_GB2312"/>
                <w:i w:val="0"/>
                <w:iCs w:val="0"/>
                <w:color w:val="auto"/>
                <w:kern w:val="0"/>
                <w:sz w:val="22"/>
                <w:szCs w:val="22"/>
                <w:u w:val="none"/>
                <w:lang w:val="en-US" w:eastAsia="zh-CN" w:bidi="ar"/>
              </w:rPr>
              <w:t>通过验收</w:t>
            </w:r>
          </w:p>
        </w:tc>
        <w:tc>
          <w:tcPr>
            <w:tcW w:w="1287"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2024</w:t>
            </w:r>
            <w:r>
              <w:rPr>
                <w:rFonts w:hint="eastAsia"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仿宋_GB2312" w:cs="Times New Roman"/>
                <w:i w:val="0"/>
                <w:iCs w:val="0"/>
                <w:color w:val="auto"/>
                <w:kern w:val="0"/>
                <w:sz w:val="22"/>
                <w:szCs w:val="22"/>
                <w:u w:val="none"/>
                <w:lang w:val="en-US" w:eastAsia="zh-CN" w:bidi="ar"/>
              </w:rPr>
              <w:t>3</w:t>
            </w:r>
            <w:r>
              <w:rPr>
                <w:rFonts w:hint="default" w:ascii="Times New Roman" w:hAnsi="Times New Roman" w:eastAsia="仿宋_GB2312" w:cs="Times New Roman"/>
                <w:i w:val="0"/>
                <w:iCs w:val="0"/>
                <w:color w:val="auto"/>
                <w:kern w:val="0"/>
                <w:sz w:val="22"/>
                <w:szCs w:val="22"/>
                <w:u w:val="none"/>
                <w:lang w:val="en" w:eastAsia="zh-CN" w:bidi="ar"/>
              </w:rPr>
              <w:t>.</w:t>
            </w:r>
            <w:r>
              <w:rPr>
                <w:rFonts w:hint="default" w:ascii="Times New Roman" w:hAnsi="Times New Roman" w:eastAsia="仿宋_GB2312" w:cs="Times New Roman"/>
                <w:i w:val="0"/>
                <w:iCs w:val="0"/>
                <w:color w:val="auto"/>
                <w:kern w:val="0"/>
                <w:sz w:val="22"/>
                <w:szCs w:val="22"/>
                <w:u w:val="none"/>
                <w:lang w:val="en-US" w:eastAsia="zh-CN" w:bidi="ar"/>
              </w:rPr>
              <w:t>19</w:t>
            </w:r>
          </w:p>
        </w:tc>
      </w:tr>
    </w:tbl>
    <w:p/>
    <w:sectPr>
      <w:footerReference r:id="rId3" w:type="default"/>
      <w:pgSz w:w="11906" w:h="16838"/>
      <w:pgMar w:top="2098" w:right="1417"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YjMzYTQ4MTFmOTBkZjlhM2YzMWRhMmUyNWNhZWUifQ=="/>
  </w:docVars>
  <w:rsids>
    <w:rsidRoot w:val="AF553F35"/>
    <w:rsid w:val="02A429BD"/>
    <w:rsid w:val="05A21435"/>
    <w:rsid w:val="0B3FB26A"/>
    <w:rsid w:val="0B711B46"/>
    <w:rsid w:val="0BAE1166"/>
    <w:rsid w:val="0CAF10DB"/>
    <w:rsid w:val="216FA847"/>
    <w:rsid w:val="26E7D3DB"/>
    <w:rsid w:val="28BDCFD4"/>
    <w:rsid w:val="2A9F38E6"/>
    <w:rsid w:val="2E9E0F15"/>
    <w:rsid w:val="2EFB04CB"/>
    <w:rsid w:val="35BE721F"/>
    <w:rsid w:val="364E35AB"/>
    <w:rsid w:val="37EF049A"/>
    <w:rsid w:val="3D151620"/>
    <w:rsid w:val="3DF70DF5"/>
    <w:rsid w:val="3E7F3331"/>
    <w:rsid w:val="3EFF2C68"/>
    <w:rsid w:val="3F5EC1E1"/>
    <w:rsid w:val="3F6EFF14"/>
    <w:rsid w:val="3F77C874"/>
    <w:rsid w:val="3FF9B586"/>
    <w:rsid w:val="43FF7075"/>
    <w:rsid w:val="44624857"/>
    <w:rsid w:val="47E7A153"/>
    <w:rsid w:val="4F5B8E73"/>
    <w:rsid w:val="53FE4BE4"/>
    <w:rsid w:val="55F7D943"/>
    <w:rsid w:val="57DFEA7F"/>
    <w:rsid w:val="57FEB563"/>
    <w:rsid w:val="589F23F0"/>
    <w:rsid w:val="597FBA04"/>
    <w:rsid w:val="5BAC4B29"/>
    <w:rsid w:val="5BFFC847"/>
    <w:rsid w:val="5D1D4B08"/>
    <w:rsid w:val="5DDF68C6"/>
    <w:rsid w:val="5E7A0E35"/>
    <w:rsid w:val="5EEFE909"/>
    <w:rsid w:val="5EFD41B2"/>
    <w:rsid w:val="5EFFB37D"/>
    <w:rsid w:val="5F3951ED"/>
    <w:rsid w:val="5FEC3A95"/>
    <w:rsid w:val="64370110"/>
    <w:rsid w:val="67BF62FC"/>
    <w:rsid w:val="6AFD36E5"/>
    <w:rsid w:val="6B775FF4"/>
    <w:rsid w:val="6D79D406"/>
    <w:rsid w:val="6DFFE3E1"/>
    <w:rsid w:val="6E3F8E81"/>
    <w:rsid w:val="6EF39176"/>
    <w:rsid w:val="6EFF0DB7"/>
    <w:rsid w:val="6F41524A"/>
    <w:rsid w:val="6F75BC6D"/>
    <w:rsid w:val="6FBD3CD6"/>
    <w:rsid w:val="6FE22BC9"/>
    <w:rsid w:val="6FE91DE7"/>
    <w:rsid w:val="6FED4C18"/>
    <w:rsid w:val="6FF79496"/>
    <w:rsid w:val="6FFFC6F9"/>
    <w:rsid w:val="712815B5"/>
    <w:rsid w:val="72A44E26"/>
    <w:rsid w:val="756DD96A"/>
    <w:rsid w:val="75A299E8"/>
    <w:rsid w:val="76206C56"/>
    <w:rsid w:val="7657E321"/>
    <w:rsid w:val="77CE7F0B"/>
    <w:rsid w:val="77FB59C4"/>
    <w:rsid w:val="79DF7521"/>
    <w:rsid w:val="79EBB156"/>
    <w:rsid w:val="7AF79CCB"/>
    <w:rsid w:val="7BCB32F6"/>
    <w:rsid w:val="7BCEEBFD"/>
    <w:rsid w:val="7BF3E7F6"/>
    <w:rsid w:val="7BFABF8B"/>
    <w:rsid w:val="7BFF602B"/>
    <w:rsid w:val="7BFFBE73"/>
    <w:rsid w:val="7C855A65"/>
    <w:rsid w:val="7CFFE009"/>
    <w:rsid w:val="7DFE6BC9"/>
    <w:rsid w:val="7DFEE1B7"/>
    <w:rsid w:val="7E9F0B0E"/>
    <w:rsid w:val="7EBBADD2"/>
    <w:rsid w:val="7EDE74E2"/>
    <w:rsid w:val="7EF4F1F9"/>
    <w:rsid w:val="7EFD3B28"/>
    <w:rsid w:val="7FB956F4"/>
    <w:rsid w:val="7FCFD18A"/>
    <w:rsid w:val="7FE74B21"/>
    <w:rsid w:val="7FFD0046"/>
    <w:rsid w:val="937F1CCF"/>
    <w:rsid w:val="9DB74239"/>
    <w:rsid w:val="A7B62427"/>
    <w:rsid w:val="ADEF3FB9"/>
    <w:rsid w:val="AF553F35"/>
    <w:rsid w:val="AFD7F199"/>
    <w:rsid w:val="AFEFDB2A"/>
    <w:rsid w:val="B1DCD201"/>
    <w:rsid w:val="B7FD0546"/>
    <w:rsid w:val="BBBF5A81"/>
    <w:rsid w:val="BDF6E95D"/>
    <w:rsid w:val="BEF72A51"/>
    <w:rsid w:val="BEFBA66F"/>
    <w:rsid w:val="BF7B85CB"/>
    <w:rsid w:val="BF7B8B8F"/>
    <w:rsid w:val="BFB6A569"/>
    <w:rsid w:val="BFEBFB64"/>
    <w:rsid w:val="BFFF4D40"/>
    <w:rsid w:val="C7FF0C17"/>
    <w:rsid w:val="C9F5A9EE"/>
    <w:rsid w:val="CBFDF769"/>
    <w:rsid w:val="CF7B3D2D"/>
    <w:rsid w:val="CF7EBA2E"/>
    <w:rsid w:val="D36F9806"/>
    <w:rsid w:val="D67F0223"/>
    <w:rsid w:val="D9864666"/>
    <w:rsid w:val="DAFF9C6D"/>
    <w:rsid w:val="DBEF8BC8"/>
    <w:rsid w:val="DDF716CA"/>
    <w:rsid w:val="DEEFF10A"/>
    <w:rsid w:val="DFD1C670"/>
    <w:rsid w:val="E7FA3985"/>
    <w:rsid w:val="E83740A4"/>
    <w:rsid w:val="E95D0177"/>
    <w:rsid w:val="EE75C5B6"/>
    <w:rsid w:val="EEFC8358"/>
    <w:rsid w:val="EFF97500"/>
    <w:rsid w:val="F7A731FA"/>
    <w:rsid w:val="F7BBE3FE"/>
    <w:rsid w:val="F7CA200A"/>
    <w:rsid w:val="F7F05D76"/>
    <w:rsid w:val="F7F68B76"/>
    <w:rsid w:val="F7FF3529"/>
    <w:rsid w:val="F8AF7249"/>
    <w:rsid w:val="F9FEEDC8"/>
    <w:rsid w:val="FA48AA54"/>
    <w:rsid w:val="FC71712A"/>
    <w:rsid w:val="FD3CA178"/>
    <w:rsid w:val="FDBFE14C"/>
    <w:rsid w:val="FDFBF15E"/>
    <w:rsid w:val="FDFC02BA"/>
    <w:rsid w:val="FDFE2992"/>
    <w:rsid w:val="FE0B8074"/>
    <w:rsid w:val="FE6BCC44"/>
    <w:rsid w:val="FEA7FFC2"/>
    <w:rsid w:val="FEBB12F1"/>
    <w:rsid w:val="FEFF1EAA"/>
    <w:rsid w:val="FF2BB376"/>
    <w:rsid w:val="FF7744FA"/>
    <w:rsid w:val="FF8BD184"/>
    <w:rsid w:val="FFAD2282"/>
    <w:rsid w:val="FFAFA22C"/>
    <w:rsid w:val="FFB5CE9A"/>
    <w:rsid w:val="FFBA1884"/>
    <w:rsid w:val="FFCB5A46"/>
    <w:rsid w:val="FFD373CF"/>
    <w:rsid w:val="FFF12D00"/>
    <w:rsid w:val="FFF3D47F"/>
    <w:rsid w:val="FFF5202E"/>
    <w:rsid w:val="FFF90A4B"/>
    <w:rsid w:val="FFFE31B1"/>
    <w:rsid w:val="FFFEDEDD"/>
    <w:rsid w:val="FFFF52A2"/>
    <w:rsid w:val="FFFFA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20" w:lineRule="exact"/>
    </w:pPr>
    <w:rPr>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color w:val="000000"/>
      <w:sz w:val="21"/>
      <w:szCs w:val="21"/>
      <w:u w:val="none"/>
    </w:rPr>
  </w:style>
  <w:style w:type="character" w:customStyle="1" w:styleId="10">
    <w:name w:val="font41"/>
    <w:basedOn w:val="8"/>
    <w:qFormat/>
    <w:uiPriority w:val="0"/>
    <w:rPr>
      <w:rFonts w:hint="eastAsia" w:ascii="仿宋_GB2312" w:eastAsia="仿宋_GB2312" w:cs="仿宋_GB2312"/>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1098</Characters>
  <Lines>0</Lines>
  <Paragraphs>0</Paragraphs>
  <TotalTime>1</TotalTime>
  <ScaleCrop>false</ScaleCrop>
  <LinksUpToDate>false</LinksUpToDate>
  <CharactersWithSpaces>1217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2023-08-12T18:53:00Z</dcterms:created>
  <dc:creator>gxxc</dc:creator>
  <cp:lastModifiedBy>gxxc</cp:lastModifiedBy>
  <cp:lastPrinted>2025-03-24T10:00:00Z</cp:lastPrinted>
  <dcterms:modified xsi:type="dcterms:W3CDTF">2026-01-14T15:39:14Z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D1F93CFE37F140A192C908CF38820F94_13</vt:lpwstr>
  </property>
  <property fmtid="{D5CDD505-2E9C-101B-9397-08002B2CF9AE}" pid="4" name="KSOTemplateDocerSaveRecord">
    <vt:lpwstr>eyJoZGlkIjoiM2Y0NWE4YTc2YTgyYjU1NjdkNTUyZjdkZmNjYTcxYjYiLCJ1c2VySWQiOiI0NDU5MDg2NTUifQ==</vt:lpwstr>
  </property>
</Properties>
</file>