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科技计划项目验收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tbl>
      <w:tblPr>
        <w:tblStyle w:val="14"/>
        <w:tblW w:w="9013" w:type="dxa"/>
        <w:jc w:val="center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5"/>
        <w:gridCol w:w="3161"/>
        <w:gridCol w:w="1731"/>
        <w:gridCol w:w="2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75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个性化定制型耐腐耐磨离心泵产品研制及产业化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编号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2018BA30504</w:t>
            </w:r>
          </w:p>
        </w:tc>
        <w:tc>
          <w:tcPr>
            <w:tcW w:w="1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负责人</w:t>
            </w:r>
          </w:p>
        </w:tc>
        <w:tc>
          <w:tcPr>
            <w:tcW w:w="26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林和军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验收地点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柳州酸王泵制造股份有限公司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验收时间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验收主持单位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柳州市智能制造科技服务中心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验收结果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通过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完成单位</w:t>
            </w:r>
          </w:p>
        </w:tc>
        <w:tc>
          <w:tcPr>
            <w:tcW w:w="75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柳州酸王泵制造股份有限公司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7" w:hRule="atLeast"/>
          <w:tblCellSpacing w:w="0" w:type="dxa"/>
          <w:jc w:val="center"/>
        </w:trPr>
        <w:tc>
          <w:tcPr>
            <w:tcW w:w="1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见</w:t>
            </w:r>
          </w:p>
        </w:tc>
        <w:tc>
          <w:tcPr>
            <w:tcW w:w="75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2022年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日，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科技局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委托柳州市智能制造科技服务中心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组织专家对柳州酸王泵制造股份有限公司承担的市科技计划项目“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个性化定制型耐腐耐磨离心泵产品研制及产业化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”（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合同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编号：2018BA30504）进行验收。验收组听取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项目汇报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审阅资料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、质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询讨论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等程序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，形成如下意见：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专家组认为，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该项目未能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提供80PN-30、100PN-46、125PN-60立式矿浆泵第三方检验报告，根据《柳州市科技计划项目结题管理办法》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（柳科规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1号）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二十六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条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第一款“项目实施期限内完成项目合同约定的考核指标任务90%以上（含本数）”之规定，该项目未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完成合同约定考核指标的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90%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，验收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科技经费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31万元，已合规使用财政科技经费31万元，符合科技经费管理相关规定，科技经费额结余0万元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应退财政科技经费0万元。</w:t>
            </w:r>
          </w:p>
        </w:tc>
      </w:tr>
    </w:tbl>
    <w:p>
      <w:pPr>
        <w:rPr>
          <w:rFonts w:hint="eastAsia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科技计划项目验收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tbl>
      <w:tblPr>
        <w:tblStyle w:val="14"/>
        <w:tblW w:w="9155" w:type="dxa"/>
        <w:jc w:val="center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3161"/>
        <w:gridCol w:w="1731"/>
        <w:gridCol w:w="27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76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基于低空近景遥感的山区茶园杂草监控系统关键技术的研究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编号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2019BC30601</w:t>
            </w:r>
          </w:p>
        </w:tc>
        <w:tc>
          <w:tcPr>
            <w:tcW w:w="1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负责人</w:t>
            </w:r>
          </w:p>
        </w:tc>
        <w:tc>
          <w:tcPr>
            <w:tcW w:w="2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胡   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验收地点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柳州市侗天湖农业生态旅游投资有限责任公司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验收时间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验收主持单位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柳州市智能制造科技服务中心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验收结果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通过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完成单位</w:t>
            </w:r>
          </w:p>
        </w:tc>
        <w:tc>
          <w:tcPr>
            <w:tcW w:w="76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柳州市侗天湖农业生态旅游投资有限责任公司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5" w:hRule="atLeast"/>
          <w:tblCellSpacing w:w="0" w:type="dxa"/>
          <w:jc w:val="center"/>
        </w:trPr>
        <w:tc>
          <w:tcPr>
            <w:tcW w:w="1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见</w:t>
            </w:r>
          </w:p>
        </w:tc>
        <w:tc>
          <w:tcPr>
            <w:tcW w:w="76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基于柳州市侗天湖农业生态旅游投资有限责任公司对“基于低空近景遥感的山区茶园杂草监控系统关键技术的研究”项目在2022年5月18日作出的项目复审结论提出异议申请，柳州市科学技术局于2022年6月7日组织专家组在柳州市科学技术局三楼会议室对“基于低空近景遥感的山区茶园杂草监控系统关键技术的研究”项目（合同编号：2019BC30601）进行复审核验。复审核验专家组认真复核了项目承担单位提供的项目工作总结、经费决算表、财政资金支出明细及发票凭证、已取得的相关成果及证明等项验收材料资料，形成项目复审核验意见如下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：</w:t>
            </w:r>
          </w:p>
          <w:p>
            <w:pPr>
              <w:pStyle w:val="3"/>
              <w:adjustRightInd w:val="0"/>
              <w:snapToGrid w:val="0"/>
              <w:spacing w:line="600" w:lineRule="exact"/>
              <w:ind w:firstLine="645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科技经费50万元，其中合规支出17.367万元，结余科技经费1.633万元，违规支出31万元。根据《柳州市应用技术研究与开发经费管理办法》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（柳</w:t>
            </w: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〔20</w:t>
            </w: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〕</w:t>
            </w: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1号）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第三十七条</w:t>
            </w: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lang w:eastAsia="zh-CN"/>
              </w:rPr>
              <w:t>第六款“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未按规定执行和调整预算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不得通过财务审核</w:t>
            </w: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lang w:eastAsia="zh-CN"/>
              </w:rPr>
              <w:t>之规定，该项目未能通过财务审核。该项目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认定违规经费31万元</w:t>
            </w: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lang w:eastAsia="zh-CN"/>
              </w:rPr>
              <w:t>，包括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材料费16万元为购买有机肥料，合同明确规定经费应该是无人机电池，其余数据采集材料费用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劳务费15万元为生产成本，合同明确规定应该是聘用无人机飞手及委托广西科技大学专家费用。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根据《柳州市应用技术研究与开发经费管理办法》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（柳</w:t>
            </w: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〔20</w:t>
            </w: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〕</w:t>
            </w: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1号）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第三十六条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未通过项目财务审核手续的项目，一律不予通过验收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”之规定，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专家组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“基于低空近景遥感的山区茶园杂草监控系统关键技术的研究”项目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作出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不通过验收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结论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应退财政科技经费32.633万元。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4438"/>
    <w:rsid w:val="0D572DD2"/>
    <w:rsid w:val="1AEE0F27"/>
    <w:rsid w:val="1E6C006E"/>
    <w:rsid w:val="25BC7D27"/>
    <w:rsid w:val="25F772F1"/>
    <w:rsid w:val="27E01F38"/>
    <w:rsid w:val="29DC4438"/>
    <w:rsid w:val="325F13AE"/>
    <w:rsid w:val="3B396DAE"/>
    <w:rsid w:val="44F427BA"/>
    <w:rsid w:val="5C016195"/>
    <w:rsid w:val="5FE23CEC"/>
    <w:rsid w:val="69A96E8C"/>
    <w:rsid w:val="731810E6"/>
    <w:rsid w:val="73A004D6"/>
    <w:rsid w:val="73E71E84"/>
    <w:rsid w:val="7DB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0"/>
      <w:sz w:val="28"/>
      <w:szCs w:val="2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仿宋_GB2312" w:cs="Courier New"/>
      <w:sz w:val="32"/>
      <w:szCs w:val="21"/>
      <w:lang w:bidi="ar-SA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2022-07-14T02:06:00Z</dcterms:created>
  <dc:creator>bbx</dc:creator>
  <cp:lastModifiedBy>bbx</cp:lastModifiedBy>
  <cp:lastPrinted>2022-08-01T08:43:13Z</cp:lastPrinted>
  <dcterms:modified xsi:type="dcterms:W3CDTF">2022-08-01T08:49:28Z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