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附件1</w:t>
      </w:r>
    </w:p>
    <w:p>
      <w:pPr>
        <w:spacing w:line="400" w:lineRule="exact"/>
        <w:jc w:val="center"/>
        <w:rPr>
          <w:rFonts w:ascii="方正小标宋简体" w:hAnsi="方正小标宋简体" w:eastAsia="方正小标宋简体" w:cs="方正小标宋简体"/>
          <w:color w:val="000000" w:themeColor="text1"/>
          <w:sz w:val="44"/>
          <w:szCs w:val="44"/>
          <w:shd w:val="clear" w:color="auto" w:fill="FFFFFF"/>
        </w:rPr>
      </w:pPr>
    </w:p>
    <w:p>
      <w:pPr>
        <w:spacing w:line="640" w:lineRule="exact"/>
        <w:jc w:val="center"/>
        <w:rPr>
          <w:rFonts w:ascii="仿宋" w:hAnsi="仿宋" w:eastAsia="仿宋"/>
          <w:b/>
          <w:bCs/>
          <w:color w:val="000000" w:themeColor="text1"/>
          <w:sz w:val="36"/>
          <w:szCs w:val="36"/>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柳州市促进高端科技服务业发展的实施方案</w:t>
      </w:r>
    </w:p>
    <w:p>
      <w:pPr>
        <w:spacing w:line="560" w:lineRule="exact"/>
        <w:jc w:val="center"/>
        <w:rPr>
          <w:rFonts w:ascii="仿宋" w:hAnsi="仿宋" w:eastAsia="仿宋" w:cs="仿宋"/>
          <w:color w:val="000000" w:themeColor="text1"/>
          <w:sz w:val="32"/>
          <w:szCs w:val="32"/>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（2020-2025年）（</w:t>
      </w:r>
      <w:r>
        <w:rPr>
          <w:rFonts w:hint="eastAsia" w:ascii="方正小标宋简体" w:hAnsi="方正小标宋简体" w:eastAsia="方正小标宋简体" w:cs="方正小标宋简体"/>
          <w:color w:val="000000" w:themeColor="text1"/>
          <w:sz w:val="44"/>
          <w:szCs w:val="44"/>
          <w:shd w:val="clear" w:color="auto" w:fill="FFFFFF"/>
          <w:lang w:eastAsia="zh-CN"/>
        </w:rPr>
        <w:t>征求意见</w:t>
      </w:r>
      <w:r>
        <w:rPr>
          <w:rFonts w:hint="eastAsia" w:ascii="方正小标宋简体" w:hAnsi="方正小标宋简体" w:eastAsia="方正小标宋简体" w:cs="方正小标宋简体"/>
          <w:color w:val="000000" w:themeColor="text1"/>
          <w:sz w:val="44"/>
          <w:szCs w:val="44"/>
          <w:shd w:val="clear" w:color="auto" w:fill="FFFFFF"/>
        </w:rPr>
        <w:t>稿）</w:t>
      </w:r>
    </w:p>
    <w:p>
      <w:pPr>
        <w:adjustRightInd w:val="0"/>
        <w:snapToGrid w:val="0"/>
        <w:spacing w:line="600" w:lineRule="exact"/>
        <w:ind w:firstLine="640" w:firstLineChars="200"/>
        <w:rPr>
          <w:rFonts w:ascii="仿宋" w:hAnsi="仿宋" w:eastAsia="仿宋" w:cs="仿宋"/>
          <w:color w:val="000000" w:themeColor="text1"/>
          <w:sz w:val="32"/>
          <w:szCs w:val="32"/>
          <w:shd w:val="clear" w:color="auto" w:fill="FFFFFF"/>
        </w:rPr>
      </w:pPr>
    </w:p>
    <w:p>
      <w:pPr>
        <w:adjustRightInd w:val="0"/>
        <w:snapToGrid w:val="0"/>
        <w:spacing w:line="600" w:lineRule="exact"/>
        <w:ind w:firstLine="640" w:firstLineChars="200"/>
        <w:rPr>
          <w:rFonts w:ascii="Times New Roman" w:hAnsi="Times New Roman" w:eastAsia="仿宋" w:cs="Times New Roman"/>
          <w:color w:val="000000" w:themeColor="text1"/>
          <w:sz w:val="32"/>
          <w:szCs w:val="32"/>
          <w:shd w:val="clear" w:color="auto" w:fill="FFFFFF"/>
        </w:rPr>
      </w:pPr>
      <w:r>
        <w:rPr>
          <w:rFonts w:ascii="Times New Roman" w:hAnsi="仿宋" w:eastAsia="仿宋" w:cs="Times New Roman"/>
          <w:color w:val="000000" w:themeColor="text1"/>
          <w:sz w:val="32"/>
          <w:szCs w:val="32"/>
          <w:shd w:val="clear" w:color="auto" w:fill="FFFFFF"/>
        </w:rPr>
        <w:t>为落实《广西加快科技服务业发展实施方案》（桂政办发〔</w:t>
      </w:r>
      <w:r>
        <w:rPr>
          <w:rFonts w:ascii="Times New Roman" w:hAnsi="Times New Roman" w:eastAsia="仿宋" w:cs="Times New Roman"/>
          <w:color w:val="000000" w:themeColor="text1"/>
          <w:sz w:val="32"/>
          <w:szCs w:val="32"/>
          <w:shd w:val="clear" w:color="auto" w:fill="FFFFFF"/>
        </w:rPr>
        <w:t>2015</w:t>
      </w:r>
      <w:r>
        <w:rPr>
          <w:rFonts w:ascii="Times New Roman" w:hAnsi="仿宋" w:eastAsia="仿宋" w:cs="Times New Roman"/>
          <w:color w:val="000000" w:themeColor="text1"/>
          <w:sz w:val="32"/>
          <w:szCs w:val="32"/>
          <w:shd w:val="clear" w:color="auto" w:fill="FFFFFF"/>
        </w:rPr>
        <w:t>〕</w:t>
      </w:r>
      <w:r>
        <w:rPr>
          <w:rFonts w:ascii="Times New Roman" w:hAnsi="Times New Roman" w:eastAsia="仿宋" w:cs="Times New Roman"/>
          <w:color w:val="000000" w:themeColor="text1"/>
          <w:sz w:val="32"/>
          <w:szCs w:val="32"/>
          <w:shd w:val="clear" w:color="auto" w:fill="FFFFFF"/>
        </w:rPr>
        <w:t>94</w:t>
      </w:r>
      <w:r>
        <w:rPr>
          <w:rFonts w:ascii="Times New Roman" w:hAnsi="仿宋" w:eastAsia="仿宋" w:cs="Times New Roman"/>
          <w:color w:val="000000" w:themeColor="text1"/>
          <w:sz w:val="32"/>
          <w:szCs w:val="32"/>
          <w:shd w:val="clear" w:color="auto" w:fill="FFFFFF"/>
        </w:rPr>
        <w:t>号）、</w:t>
      </w:r>
      <w:r>
        <w:rPr>
          <w:rFonts w:ascii="Times New Roman" w:hAnsi="仿宋" w:eastAsia="仿宋" w:cs="Times New Roman"/>
          <w:color w:val="000000" w:themeColor="text1"/>
          <w:kern w:val="0"/>
          <w:sz w:val="32"/>
          <w:szCs w:val="32"/>
        </w:rPr>
        <w:t>《关于进一步深化科技体制改革推动科技创新促进广西高质量发展的若干措施》（厅发〔</w:t>
      </w:r>
      <w:r>
        <w:rPr>
          <w:rFonts w:ascii="Times New Roman" w:hAnsi="Times New Roman" w:eastAsia="仿宋" w:cs="Times New Roman"/>
          <w:color w:val="000000" w:themeColor="text1"/>
          <w:kern w:val="0"/>
          <w:sz w:val="32"/>
          <w:szCs w:val="32"/>
        </w:rPr>
        <w:t>2020</w:t>
      </w:r>
      <w:r>
        <w:rPr>
          <w:rFonts w:ascii="Times New Roman" w:hAnsi="仿宋" w:eastAsia="仿宋" w:cs="Times New Roman"/>
          <w:color w:val="000000" w:themeColor="text1"/>
          <w:kern w:val="0"/>
          <w:sz w:val="32"/>
          <w:szCs w:val="32"/>
        </w:rPr>
        <w:t>〕</w:t>
      </w:r>
      <w:r>
        <w:rPr>
          <w:rFonts w:ascii="Times New Roman" w:hAnsi="Times New Roman" w:eastAsia="仿宋" w:cs="Times New Roman"/>
          <w:color w:val="000000" w:themeColor="text1"/>
          <w:kern w:val="0"/>
          <w:sz w:val="32"/>
          <w:szCs w:val="32"/>
        </w:rPr>
        <w:t>29</w:t>
      </w:r>
      <w:r>
        <w:rPr>
          <w:rFonts w:ascii="Times New Roman" w:hAnsi="仿宋" w:eastAsia="仿宋" w:cs="Times New Roman"/>
          <w:color w:val="000000" w:themeColor="text1"/>
          <w:kern w:val="0"/>
          <w:sz w:val="32"/>
          <w:szCs w:val="32"/>
        </w:rPr>
        <w:t>号）等</w:t>
      </w:r>
      <w:r>
        <w:rPr>
          <w:rFonts w:ascii="Times New Roman" w:hAnsi="仿宋" w:eastAsia="仿宋" w:cs="Times New Roman"/>
          <w:color w:val="000000" w:themeColor="text1"/>
          <w:sz w:val="32"/>
          <w:szCs w:val="32"/>
          <w:shd w:val="clear" w:color="auto" w:fill="FFFFFF"/>
        </w:rPr>
        <w:t>文件精神，进一步加快推进柳州市科技服务业发展，培育壮大高端科技服务业，完善优化科技服务产业链条，全力支撑柳州市经济转型升级和现代制造城建设，制定本政策。</w:t>
      </w:r>
    </w:p>
    <w:p>
      <w:pPr>
        <w:adjustRightInd w:val="0"/>
        <w:snapToGrid w:val="0"/>
        <w:spacing w:line="600" w:lineRule="exact"/>
        <w:ind w:firstLine="640" w:firstLineChars="200"/>
        <w:rPr>
          <w:rFonts w:ascii="Times New Roman" w:hAnsi="Times New Roman" w:eastAsia="黑体" w:cs="Times New Roman"/>
          <w:bCs/>
          <w:color w:val="000000" w:themeColor="text1"/>
          <w:sz w:val="32"/>
          <w:szCs w:val="32"/>
          <w:shd w:val="clear" w:color="auto" w:fill="FFFFFF"/>
        </w:rPr>
      </w:pPr>
      <w:r>
        <w:rPr>
          <w:rFonts w:ascii="Times New Roman" w:hAnsi="黑体" w:eastAsia="黑体" w:cs="Times New Roman"/>
          <w:bCs/>
          <w:color w:val="000000" w:themeColor="text1"/>
          <w:sz w:val="32"/>
          <w:szCs w:val="32"/>
          <w:shd w:val="clear" w:color="auto" w:fill="FFFFFF"/>
        </w:rPr>
        <w:t>一、总体要求</w:t>
      </w:r>
    </w:p>
    <w:p>
      <w:pPr>
        <w:adjustRightInd w:val="0"/>
        <w:snapToGrid w:val="0"/>
        <w:spacing w:line="600" w:lineRule="exact"/>
        <w:ind w:firstLine="643" w:firstLineChars="200"/>
        <w:rPr>
          <w:rFonts w:ascii="Times New Roman" w:hAnsi="Times New Roman" w:eastAsia="楷体" w:cs="Times New Roman"/>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（一）指导思想</w:t>
      </w:r>
      <w:bookmarkStart w:id="1" w:name="_GoBack"/>
      <w:bookmarkEnd w:id="1"/>
    </w:p>
    <w:p>
      <w:pPr>
        <w:adjustRightInd w:val="0"/>
        <w:snapToGrid w:val="0"/>
        <w:spacing w:line="600" w:lineRule="exact"/>
        <w:ind w:firstLine="640" w:firstLineChars="200"/>
        <w:rPr>
          <w:rFonts w:ascii="Times New Roman" w:hAnsi="Times New Roman" w:eastAsia="仿宋" w:cs="Times New Roman"/>
          <w:color w:val="000000" w:themeColor="text1"/>
          <w:kern w:val="0"/>
          <w:sz w:val="32"/>
          <w:szCs w:val="32"/>
          <w:shd w:val="clear" w:color="auto" w:fill="FFFFFF"/>
        </w:rPr>
      </w:pPr>
      <w:r>
        <w:rPr>
          <w:rFonts w:ascii="Times New Roman" w:hAnsi="仿宋" w:eastAsia="仿宋" w:cs="Times New Roman"/>
          <w:color w:val="000000" w:themeColor="text1"/>
          <w:sz w:val="32"/>
          <w:szCs w:val="32"/>
        </w:rPr>
        <w:t>深入贯彻落实党的十九大和十九届二中、三中、四中全会精神，以习近平新时代中国特色社会主义思想为指导，</w:t>
      </w:r>
      <w:r>
        <w:rPr>
          <w:rFonts w:ascii="Times New Roman" w:hAnsi="仿宋" w:eastAsia="仿宋" w:cs="Times New Roman"/>
          <w:color w:val="000000" w:themeColor="text1"/>
          <w:kern w:val="0"/>
          <w:sz w:val="32"/>
          <w:szCs w:val="32"/>
          <w:shd w:val="clear" w:color="auto" w:fill="FFFFFF"/>
        </w:rPr>
        <w:t>围绕自治区党委、自治区人民政府深入实施创新驱动发展战略要求，坚持深化改革、创新驱动、市场导向、开放合作的原则，培育壮大科技服务业市场主体，发展</w:t>
      </w:r>
      <w:r>
        <w:rPr>
          <w:rFonts w:ascii="Times New Roman" w:hAnsi="Times New Roman" w:eastAsia="仿宋" w:cs="Times New Roman"/>
          <w:color w:val="000000" w:themeColor="text1"/>
          <w:kern w:val="0"/>
          <w:sz w:val="32"/>
          <w:szCs w:val="32"/>
          <w:shd w:val="clear" w:color="auto" w:fill="FFFFFF"/>
        </w:rPr>
        <w:t>“</w:t>
      </w:r>
      <w:r>
        <w:rPr>
          <w:rFonts w:ascii="Times New Roman" w:hAnsi="仿宋" w:eastAsia="仿宋" w:cs="Times New Roman"/>
          <w:color w:val="000000" w:themeColor="text1"/>
          <w:kern w:val="0"/>
          <w:sz w:val="32"/>
          <w:szCs w:val="32"/>
          <w:shd w:val="clear" w:color="auto" w:fill="FFFFFF"/>
        </w:rPr>
        <w:t>专业化、网络化、规模化</w:t>
      </w:r>
      <w:r>
        <w:rPr>
          <w:rFonts w:ascii="Times New Roman" w:hAnsi="Times New Roman" w:eastAsia="仿宋" w:cs="Times New Roman"/>
          <w:color w:val="000000" w:themeColor="text1"/>
          <w:kern w:val="0"/>
          <w:sz w:val="32"/>
          <w:szCs w:val="32"/>
          <w:shd w:val="clear" w:color="auto" w:fill="FFFFFF"/>
        </w:rPr>
        <w:t>”</w:t>
      </w:r>
      <w:r>
        <w:rPr>
          <w:rFonts w:ascii="Times New Roman" w:hAnsi="仿宋" w:eastAsia="仿宋" w:cs="Times New Roman"/>
          <w:color w:val="000000" w:themeColor="text1"/>
          <w:kern w:val="0"/>
          <w:sz w:val="32"/>
          <w:szCs w:val="32"/>
          <w:shd w:val="clear" w:color="auto" w:fill="FFFFFF"/>
        </w:rPr>
        <w:t>的科技服务业，推动我市科技创新与</w:t>
      </w:r>
      <w:r>
        <w:rPr>
          <w:rFonts w:ascii="Times New Roman" w:hAnsi="Times New Roman" w:eastAsia="仿宋" w:cs="Times New Roman"/>
          <w:color w:val="000000" w:themeColor="text1"/>
          <w:kern w:val="0"/>
          <w:sz w:val="32"/>
          <w:szCs w:val="32"/>
          <w:shd w:val="clear" w:color="auto" w:fill="FFFFFF"/>
        </w:rPr>
        <w:t>“5+5”</w:t>
      </w:r>
      <w:r>
        <w:rPr>
          <w:rFonts w:ascii="Times New Roman" w:hAnsi="仿宋" w:eastAsia="仿宋" w:cs="Times New Roman"/>
          <w:color w:val="000000" w:themeColor="text1"/>
          <w:kern w:val="0"/>
          <w:sz w:val="32"/>
          <w:szCs w:val="32"/>
          <w:shd w:val="clear" w:color="auto" w:fill="FFFFFF"/>
        </w:rPr>
        <w:t>产业深度融合发展，强化科技创新对我市高质量发展目标的支撑作用。</w:t>
      </w:r>
    </w:p>
    <w:p>
      <w:pPr>
        <w:adjustRightInd w:val="0"/>
        <w:snapToGrid w:val="0"/>
        <w:spacing w:line="600" w:lineRule="exact"/>
        <w:ind w:firstLine="643" w:firstLineChars="200"/>
        <w:rPr>
          <w:rFonts w:ascii="Times New Roman" w:hAnsi="Times New Roman" w:eastAsia="楷体" w:cs="Times New Roman"/>
          <w:b/>
          <w:bCs/>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（二）发展目标</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shd w:val="clear" w:color="auto" w:fill="FFFFFF"/>
        </w:rPr>
      </w:pPr>
      <w:r>
        <w:rPr>
          <w:rFonts w:ascii="Times New Roman" w:hAnsi="仿宋" w:eastAsia="仿宋" w:cs="Times New Roman"/>
          <w:color w:val="000000" w:themeColor="text1"/>
          <w:sz w:val="32"/>
          <w:szCs w:val="32"/>
          <w:shd w:val="clear" w:color="auto" w:fill="FFFFFF"/>
        </w:rPr>
        <w:t>把握高质量发展要求，针对柳州市科技服务业结构不优、企业数量不多、</w:t>
      </w:r>
      <w:r>
        <w:rPr>
          <w:rFonts w:ascii="Times New Roman" w:hAnsi="Times New Roman" w:eastAsia="仿宋" w:cs="Times New Roman"/>
          <w:color w:val="000000" w:themeColor="text1"/>
          <w:sz w:val="32"/>
          <w:szCs w:val="32"/>
          <w:shd w:val="clear" w:color="auto" w:fill="FFFFFF"/>
        </w:rPr>
        <w:t>GDP</w:t>
      </w:r>
      <w:r>
        <w:rPr>
          <w:rFonts w:ascii="Times New Roman" w:hAnsi="仿宋" w:eastAsia="仿宋" w:cs="Times New Roman"/>
          <w:color w:val="000000" w:themeColor="text1"/>
          <w:sz w:val="32"/>
          <w:szCs w:val="32"/>
          <w:shd w:val="clear" w:color="auto" w:fill="FFFFFF"/>
        </w:rPr>
        <w:t>占比低的问题，以壮大新经济、发展新产业、推广新技术为重点，建成覆盖科技创新全链条的服务体系；涌现新业态，形成具有持续增长动能的高端科技服务业。</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shd w:val="clear" w:color="auto" w:fill="FFFFFF"/>
        </w:rPr>
      </w:pPr>
      <w:r>
        <w:rPr>
          <w:rFonts w:hint="eastAsia" w:ascii="Times New Roman" w:hAnsi="仿宋" w:eastAsia="仿宋" w:cs="Times New Roman"/>
          <w:color w:val="000000" w:themeColor="text1"/>
          <w:sz w:val="32"/>
          <w:szCs w:val="32"/>
          <w:shd w:val="clear" w:color="auto" w:fill="FFFFFF"/>
        </w:rPr>
        <w:t>到</w:t>
      </w:r>
      <w:r>
        <w:rPr>
          <w:rFonts w:ascii="Times New Roman" w:hAnsi="Times New Roman" w:eastAsia="仿宋" w:cs="Times New Roman"/>
          <w:color w:val="000000" w:themeColor="text1"/>
          <w:sz w:val="32"/>
          <w:szCs w:val="32"/>
          <w:shd w:val="clear" w:color="auto" w:fill="FFFFFF"/>
        </w:rPr>
        <w:t>2020</w:t>
      </w:r>
      <w:r>
        <w:rPr>
          <w:rFonts w:ascii="Times New Roman" w:hAnsi="仿宋" w:eastAsia="仿宋" w:cs="Times New Roman"/>
          <w:color w:val="000000" w:themeColor="text1"/>
          <w:sz w:val="32"/>
          <w:szCs w:val="32"/>
          <w:shd w:val="clear" w:color="auto" w:fill="FFFFFF"/>
        </w:rPr>
        <w:t>年</w:t>
      </w:r>
      <w:r>
        <w:rPr>
          <w:rFonts w:ascii="Times New Roman" w:hAnsi="Times New Roman" w:eastAsia="仿宋" w:cs="Times New Roman"/>
          <w:color w:val="000000" w:themeColor="text1"/>
          <w:sz w:val="32"/>
          <w:szCs w:val="32"/>
          <w:shd w:val="clear" w:color="auto" w:fill="FFFFFF"/>
        </w:rPr>
        <w:t>—2023</w:t>
      </w:r>
      <w:r>
        <w:rPr>
          <w:rFonts w:ascii="Times New Roman" w:hAnsi="仿宋" w:eastAsia="仿宋" w:cs="Times New Roman"/>
          <w:color w:val="000000" w:themeColor="text1"/>
          <w:sz w:val="32"/>
          <w:szCs w:val="32"/>
          <w:shd w:val="clear" w:color="auto" w:fill="FFFFFF"/>
        </w:rPr>
        <w:t>年全市科技服务业营业收入累计达</w:t>
      </w:r>
      <w:r>
        <w:rPr>
          <w:rFonts w:ascii="Times New Roman" w:hAnsi="Times New Roman" w:eastAsia="仿宋" w:cs="Times New Roman"/>
          <w:color w:val="000000" w:themeColor="text1"/>
          <w:sz w:val="32"/>
          <w:szCs w:val="32"/>
          <w:shd w:val="clear" w:color="auto" w:fill="FFFFFF"/>
        </w:rPr>
        <w:t>50</w:t>
      </w:r>
      <w:r>
        <w:rPr>
          <w:rFonts w:ascii="Times New Roman" w:hAnsi="仿宋" w:eastAsia="仿宋" w:cs="Times New Roman"/>
          <w:color w:val="000000" w:themeColor="text1"/>
          <w:sz w:val="32"/>
          <w:szCs w:val="32"/>
          <w:shd w:val="clear" w:color="auto" w:fill="FFFFFF"/>
        </w:rPr>
        <w:t>亿元，到</w:t>
      </w:r>
      <w:r>
        <w:rPr>
          <w:rFonts w:ascii="Times New Roman" w:hAnsi="Times New Roman" w:eastAsia="仿宋" w:cs="Times New Roman"/>
          <w:color w:val="000000" w:themeColor="text1"/>
          <w:sz w:val="32"/>
          <w:szCs w:val="32"/>
          <w:shd w:val="clear" w:color="auto" w:fill="FFFFFF"/>
        </w:rPr>
        <w:t>2025</w:t>
      </w:r>
      <w:r>
        <w:rPr>
          <w:rFonts w:ascii="Times New Roman" w:hAnsi="仿宋" w:eastAsia="仿宋" w:cs="Times New Roman"/>
          <w:color w:val="000000" w:themeColor="text1"/>
          <w:sz w:val="32"/>
          <w:szCs w:val="32"/>
          <w:shd w:val="clear" w:color="auto" w:fill="FFFFFF"/>
        </w:rPr>
        <w:t>年全市科技服务业营业收入累计达</w:t>
      </w:r>
      <w:r>
        <w:rPr>
          <w:rFonts w:ascii="Times New Roman" w:hAnsi="Times New Roman" w:eastAsia="仿宋" w:cs="Times New Roman"/>
          <w:color w:val="000000" w:themeColor="text1"/>
          <w:sz w:val="32"/>
          <w:szCs w:val="32"/>
          <w:shd w:val="clear" w:color="auto" w:fill="FFFFFF"/>
        </w:rPr>
        <w:t>100</w:t>
      </w:r>
      <w:r>
        <w:rPr>
          <w:rFonts w:ascii="Times New Roman" w:hAnsi="仿宋" w:eastAsia="仿宋" w:cs="Times New Roman"/>
          <w:color w:val="000000" w:themeColor="text1"/>
          <w:sz w:val="32"/>
          <w:szCs w:val="32"/>
          <w:shd w:val="clear" w:color="auto" w:fill="FFFFFF"/>
        </w:rPr>
        <w:t>亿元，成为促进科技与经济深度融合、经济提质增效升级的重要引擎。</w:t>
      </w:r>
    </w:p>
    <w:p>
      <w:pPr>
        <w:adjustRightInd w:val="0"/>
        <w:snapToGrid w:val="0"/>
        <w:spacing w:line="600" w:lineRule="exact"/>
        <w:ind w:firstLine="643" w:firstLineChars="200"/>
        <w:rPr>
          <w:rFonts w:ascii="Times New Roman" w:hAnsi="Times New Roman" w:eastAsia="楷体" w:cs="Times New Roman"/>
          <w:b/>
          <w:bCs/>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（三）重要任务</w:t>
      </w:r>
    </w:p>
    <w:p>
      <w:pPr>
        <w:pStyle w:val="4"/>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按照</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新建一批、整合一批、引育一批、壮大一批</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的发展思路，推动我市高端科技服务业企业快速发展，形成产业集聚效应。</w:t>
      </w:r>
    </w:p>
    <w:p>
      <w:pPr>
        <w:pStyle w:val="4"/>
        <w:widowControl w:val="0"/>
        <w:numPr>
          <w:ilvl w:val="0"/>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推动新建一批高端科技服务业企业。</w:t>
      </w:r>
      <w:r>
        <w:rPr>
          <w:rFonts w:ascii="Times New Roman" w:hAnsi="仿宋" w:eastAsia="仿宋" w:cs="Times New Roman"/>
          <w:color w:val="000000" w:themeColor="text1"/>
          <w:sz w:val="32"/>
          <w:szCs w:val="32"/>
          <w:shd w:val="clear" w:color="auto" w:fill="FFFFFF"/>
        </w:rPr>
        <w:t>鼓励我市年研发投入在</w:t>
      </w:r>
      <w:r>
        <w:rPr>
          <w:rFonts w:ascii="Times New Roman" w:hAnsi="Times New Roman" w:eastAsia="仿宋" w:cs="Times New Roman"/>
          <w:color w:val="000000" w:themeColor="text1"/>
          <w:sz w:val="32"/>
          <w:szCs w:val="32"/>
          <w:shd w:val="clear" w:color="auto" w:fill="FFFFFF"/>
        </w:rPr>
        <w:t>1000</w:t>
      </w:r>
      <w:r>
        <w:rPr>
          <w:rFonts w:ascii="Times New Roman" w:hAnsi="仿宋" w:eastAsia="仿宋" w:cs="Times New Roman"/>
          <w:color w:val="000000" w:themeColor="text1"/>
          <w:sz w:val="32"/>
          <w:szCs w:val="32"/>
          <w:shd w:val="clear" w:color="auto" w:fill="FFFFFF"/>
        </w:rPr>
        <w:t>万元以上的强优企业设立全资或控股的独立法人研发机构，逐步将研究与试验发展、专业技术服务、科技推广和应用服务等业务分离，成为高端科技服务业企业。</w:t>
      </w:r>
      <w:r>
        <w:rPr>
          <w:rFonts w:ascii="Times New Roman" w:hAnsi="仿宋" w:eastAsia="仿宋" w:cs="Times New Roman"/>
          <w:color w:val="000000" w:themeColor="text1"/>
          <w:sz w:val="32"/>
          <w:szCs w:val="32"/>
        </w:rPr>
        <w:t>鼓励有条件的工程技术研究中心、新型研发机构、重大产业技术平台及设计院所等组建</w:t>
      </w:r>
      <w:r>
        <w:rPr>
          <w:rFonts w:ascii="Times New Roman" w:hAnsi="仿宋" w:eastAsia="仿宋" w:cs="Times New Roman"/>
          <w:color w:val="000000" w:themeColor="text1"/>
          <w:sz w:val="32"/>
          <w:szCs w:val="32"/>
          <w:shd w:val="clear" w:color="auto" w:fill="FFFFFF"/>
        </w:rPr>
        <w:t>高端科技服务业企业</w:t>
      </w:r>
      <w:r>
        <w:rPr>
          <w:rFonts w:ascii="Times New Roman" w:hAnsi="仿宋" w:eastAsia="仿宋" w:cs="Times New Roman"/>
          <w:color w:val="000000" w:themeColor="text1"/>
          <w:sz w:val="32"/>
          <w:szCs w:val="32"/>
        </w:rPr>
        <w:t>，向社会提供专业化科技服务。</w:t>
      </w:r>
    </w:p>
    <w:p>
      <w:pPr>
        <w:pStyle w:val="4"/>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仿宋"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2. </w:t>
      </w:r>
      <w:r>
        <w:rPr>
          <w:rFonts w:ascii="Times New Roman" w:hAnsi="仿宋" w:eastAsia="仿宋" w:cs="Times New Roman"/>
          <w:color w:val="000000" w:themeColor="text1"/>
          <w:sz w:val="32"/>
          <w:szCs w:val="32"/>
        </w:rPr>
        <w:t>整合孵化一批高端科技服务业企业。鼓励有条件的科技企业孵化器聚集科技服务小微企业入驻、实施统一运营，</w:t>
      </w:r>
      <w:r>
        <w:rPr>
          <w:rFonts w:ascii="Times New Roman" w:hAnsi="仿宋" w:eastAsia="仿宋" w:cs="Times New Roman"/>
          <w:color w:val="000000" w:themeColor="text1"/>
          <w:sz w:val="32"/>
          <w:szCs w:val="32"/>
          <w:shd w:val="clear" w:color="auto" w:fill="FFFFFF"/>
        </w:rPr>
        <w:t>打造一站式科技服务中心，</w:t>
      </w:r>
      <w:r>
        <w:rPr>
          <w:rFonts w:ascii="Times New Roman" w:hAnsi="仿宋" w:eastAsia="仿宋" w:cs="Times New Roman"/>
          <w:color w:val="000000" w:themeColor="text1"/>
          <w:sz w:val="32"/>
          <w:szCs w:val="32"/>
        </w:rPr>
        <w:t>帮助入驻企业承接服务项目，打造服务品牌。支持有条件的科技园区开展科技服务集聚试点，</w:t>
      </w:r>
      <w:r>
        <w:rPr>
          <w:rFonts w:ascii="Times New Roman" w:hAnsi="仿宋" w:eastAsia="仿宋" w:cs="Times New Roman"/>
          <w:color w:val="000000" w:themeColor="text1"/>
          <w:sz w:val="32"/>
          <w:szCs w:val="32"/>
          <w:shd w:val="clear" w:color="auto" w:fill="FFFFFF"/>
        </w:rPr>
        <w:t>加快闲置房源处置，新建或改扩建特色楼宇，以楼聚产，集聚研发总部、检验检测、知识产权等功能，</w:t>
      </w:r>
      <w:r>
        <w:rPr>
          <w:rFonts w:ascii="Times New Roman" w:hAnsi="仿宋" w:eastAsia="仿宋" w:cs="Times New Roman"/>
          <w:color w:val="000000" w:themeColor="text1"/>
          <w:sz w:val="32"/>
          <w:szCs w:val="32"/>
        </w:rPr>
        <w:t>孵化入驻企业成长为高端科技服务业企业。</w:t>
      </w:r>
    </w:p>
    <w:p>
      <w:pPr>
        <w:pStyle w:val="4"/>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3. </w:t>
      </w:r>
      <w:r>
        <w:rPr>
          <w:rFonts w:ascii="Times New Roman" w:hAnsi="仿宋" w:eastAsia="仿宋" w:cs="Times New Roman"/>
          <w:color w:val="000000" w:themeColor="text1"/>
          <w:sz w:val="32"/>
          <w:szCs w:val="32"/>
        </w:rPr>
        <w:t>引育一批高端科技服务业企业。</w:t>
      </w:r>
      <w:r>
        <w:rPr>
          <w:rFonts w:ascii="Times New Roman" w:hAnsi="仿宋" w:eastAsia="仿宋" w:cs="Times New Roman"/>
          <w:color w:val="000000" w:themeColor="text1"/>
          <w:sz w:val="32"/>
          <w:szCs w:val="32"/>
          <w:shd w:val="clear" w:color="auto" w:fill="FFFFFF"/>
        </w:rPr>
        <w:t>围绕</w:t>
      </w:r>
      <w:r>
        <w:rPr>
          <w:rFonts w:ascii="Times New Roman" w:hAnsi="Times New Roman" w:eastAsia="仿宋" w:cs="Times New Roman"/>
          <w:color w:val="000000" w:themeColor="text1"/>
          <w:sz w:val="32"/>
          <w:szCs w:val="32"/>
          <w:shd w:val="clear" w:color="auto" w:fill="FFFFFF"/>
        </w:rPr>
        <w:t>“5+5”</w:t>
      </w:r>
      <w:r>
        <w:rPr>
          <w:rFonts w:ascii="Times New Roman" w:hAnsi="仿宋" w:eastAsia="仿宋" w:cs="Times New Roman"/>
          <w:color w:val="000000" w:themeColor="text1"/>
          <w:sz w:val="32"/>
          <w:szCs w:val="32"/>
          <w:shd w:val="clear" w:color="auto" w:fill="FFFFFF"/>
        </w:rPr>
        <w:t>产业的科技服务领域开展精准研究和对接活动，鼓励与柳有固定业务来往的产业研发、医疗卫生、教育、建筑行业等外部科技服务业企业，在柳设立研发中心、子公司等承接我市科技服务业务。支持国内外知名技术转移中心、技术交易单位、专利事务所等高端服务业机构在柳设立区域总部、子公司等，为我市企业提供科技服务。</w:t>
      </w:r>
      <w:r>
        <w:rPr>
          <w:rFonts w:ascii="Times New Roman" w:hAnsi="仿宋" w:eastAsia="仿宋" w:cs="Times New Roman"/>
          <w:color w:val="000000" w:themeColor="text1"/>
          <w:sz w:val="32"/>
          <w:szCs w:val="32"/>
        </w:rPr>
        <w:t>支持我市强优企业设立的高端科技服务业企业通过兼并、重组和上市等途径集聚优质资源，拓展国内外市场。</w:t>
      </w:r>
    </w:p>
    <w:p>
      <w:pPr>
        <w:pStyle w:val="4"/>
        <w:widowControl w:val="0"/>
        <w:numPr>
          <w:ilvl w:val="0"/>
          <w:numId w:val="2"/>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壮大一批高端科技服务业企业。扶持一批贡献较大、可稳步增长的高端科技服务业企业。鼓励各级部门、各县区开发区出台政策对柳州市经济发展贡献较大的高端科技服务业企业给予更多的财政经费奖补，对符合税收优惠政策条件的高端科技服务业企业做到</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应享尽享</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color w:val="000000" w:themeColor="text1"/>
          <w:sz w:val="32"/>
          <w:szCs w:val="32"/>
          <w:shd w:val="clear" w:color="auto" w:fill="FFFFFF"/>
        </w:rPr>
      </w:pPr>
      <w:r>
        <w:rPr>
          <w:rFonts w:ascii="Times New Roman" w:hAnsi="黑体" w:eastAsia="黑体" w:cs="Times New Roman"/>
          <w:color w:val="000000" w:themeColor="text1"/>
          <w:sz w:val="32"/>
          <w:szCs w:val="32"/>
          <w:shd w:val="clear" w:color="auto" w:fill="FFFFFF"/>
        </w:rPr>
        <w:t>二、支持对象</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获得支持的柳</w:t>
      </w:r>
      <w:r>
        <w:rPr>
          <w:rFonts w:hint="eastAsia" w:ascii="Times New Roman" w:hAnsi="仿宋" w:eastAsia="仿宋" w:cs="Times New Roman"/>
          <w:color w:val="000000" w:themeColor="text1"/>
          <w:sz w:val="32"/>
          <w:szCs w:val="32"/>
        </w:rPr>
        <w:t>州市</w:t>
      </w:r>
      <w:r>
        <w:rPr>
          <w:rFonts w:ascii="Times New Roman" w:hAnsi="仿宋" w:eastAsia="仿宋" w:cs="Times New Roman"/>
          <w:color w:val="000000" w:themeColor="text1"/>
          <w:sz w:val="32"/>
          <w:szCs w:val="32"/>
        </w:rPr>
        <w:t>高端科技服务业企业须同时符合以下条件。</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（一）</w:t>
      </w:r>
      <w:r>
        <w:rPr>
          <w:rFonts w:ascii="Times New Roman" w:hAnsi="仿宋" w:eastAsia="仿宋" w:cs="Times New Roman"/>
          <w:color w:val="000000" w:themeColor="text1"/>
          <w:sz w:val="32"/>
          <w:szCs w:val="32"/>
        </w:rPr>
        <w:t>该企业具有独立法人资格，其注册、纳税、主要经营地均在柳州市。</w:t>
      </w:r>
    </w:p>
    <w:p>
      <w:pPr>
        <w:pStyle w:val="4"/>
        <w:widowControl w:val="0"/>
        <w:shd w:val="clear" w:color="auto" w:fill="FFFFFF"/>
        <w:adjustRightInd w:val="0"/>
        <w:snapToGrid w:val="0"/>
        <w:spacing w:before="0" w:beforeAutospacing="0" w:after="0" w:afterAutospacing="0" w:line="600" w:lineRule="exact"/>
        <w:ind w:firstLine="643" w:firstLineChars="200"/>
        <w:jc w:val="both"/>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kern w:val="2"/>
          <w:sz w:val="32"/>
          <w:szCs w:val="32"/>
          <w:shd w:val="clear" w:color="auto" w:fill="FFFFFF"/>
        </w:rPr>
        <w:t>（二）</w:t>
      </w:r>
      <w:r>
        <w:rPr>
          <w:rFonts w:ascii="Times New Roman" w:hAnsi="仿宋" w:eastAsia="仿宋" w:cs="Times New Roman"/>
          <w:color w:val="000000" w:themeColor="text1"/>
          <w:sz w:val="32"/>
          <w:szCs w:val="32"/>
        </w:rPr>
        <w:t>该企业经营范围中包含有《国民经济行业分类</w:t>
      </w:r>
      <w:r>
        <w:rPr>
          <w:rFonts w:ascii="Times New Roman" w:hAnsi="Times New Roman" w:eastAsia="仿宋" w:cs="Times New Roman"/>
          <w:color w:val="000000" w:themeColor="text1"/>
          <w:sz w:val="32"/>
          <w:szCs w:val="32"/>
          <w:lang w:val="fr-FR"/>
        </w:rPr>
        <w:t xml:space="preserve"> : M </w:t>
      </w:r>
      <w:r>
        <w:rPr>
          <w:rFonts w:ascii="Times New Roman" w:hAnsi="仿宋" w:eastAsia="仿宋" w:cs="Times New Roman"/>
          <w:color w:val="000000" w:themeColor="text1"/>
          <w:sz w:val="32"/>
          <w:szCs w:val="32"/>
        </w:rPr>
        <w:t>科学研究和技术服务业</w:t>
      </w:r>
      <w:r>
        <w:rPr>
          <w:rFonts w:ascii="Times New Roman" w:hAnsi="Times New Roman" w:eastAsia="仿宋" w:cs="Times New Roman"/>
          <w:color w:val="000000" w:themeColor="text1"/>
          <w:sz w:val="32"/>
          <w:szCs w:val="32"/>
        </w:rPr>
        <w:t>(GB/T4754-2017</w:t>
      </w:r>
      <w:r>
        <w:rPr>
          <w:rFonts w:ascii="Times New Roman" w:hAnsi="仿宋" w:eastAsia="仿宋" w:cs="Times New Roman"/>
          <w:color w:val="000000" w:themeColor="text1"/>
          <w:sz w:val="32"/>
          <w:szCs w:val="32"/>
        </w:rPr>
        <w:t>）》内容，且科学研究和技术服务业营业收入占企业营业收入的</w:t>
      </w:r>
      <w:r>
        <w:rPr>
          <w:rFonts w:ascii="Times New Roman" w:hAnsi="Times New Roman" w:eastAsia="仿宋" w:cs="Times New Roman"/>
          <w:color w:val="000000" w:themeColor="text1"/>
          <w:sz w:val="32"/>
          <w:szCs w:val="32"/>
        </w:rPr>
        <w:t>50%</w:t>
      </w:r>
      <w:r>
        <w:rPr>
          <w:rFonts w:ascii="Times New Roman" w:hAnsi="仿宋" w:eastAsia="仿宋" w:cs="Times New Roman"/>
          <w:color w:val="000000" w:themeColor="text1"/>
          <w:sz w:val="32"/>
          <w:szCs w:val="32"/>
        </w:rPr>
        <w:t>（含）以上。</w:t>
      </w:r>
    </w:p>
    <w:p>
      <w:pPr>
        <w:pStyle w:val="4"/>
        <w:widowControl w:val="0"/>
        <w:shd w:val="clear" w:color="auto" w:fill="FFFFFF"/>
        <w:adjustRightInd w:val="0"/>
        <w:snapToGrid w:val="0"/>
        <w:spacing w:before="0" w:beforeAutospacing="0" w:after="0" w:afterAutospacing="0" w:line="600" w:lineRule="exact"/>
        <w:ind w:firstLine="643" w:firstLineChars="200"/>
        <w:jc w:val="both"/>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kern w:val="2"/>
          <w:sz w:val="32"/>
          <w:szCs w:val="32"/>
          <w:shd w:val="clear" w:color="auto" w:fill="FFFFFF"/>
        </w:rPr>
        <w:t>（三）</w:t>
      </w:r>
      <w:r>
        <w:rPr>
          <w:rFonts w:ascii="Times New Roman" w:hAnsi="仿宋" w:eastAsia="仿宋" w:cs="Times New Roman"/>
          <w:color w:val="000000" w:themeColor="text1"/>
          <w:sz w:val="32"/>
          <w:szCs w:val="32"/>
        </w:rPr>
        <w:t>该企业已纳入规模以上科技服务业统计联网直报系统。</w:t>
      </w:r>
    </w:p>
    <w:p>
      <w:pPr>
        <w:pStyle w:val="4"/>
        <w:widowControl w:val="0"/>
        <w:shd w:val="clear" w:color="auto" w:fill="FFFFFF"/>
        <w:adjustRightInd w:val="0"/>
        <w:snapToGrid w:val="0"/>
        <w:spacing w:before="0" w:beforeAutospacing="0" w:after="0" w:afterAutospacing="0" w:line="600" w:lineRule="exact"/>
        <w:ind w:firstLine="643" w:firstLineChars="200"/>
        <w:jc w:val="both"/>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kern w:val="2"/>
          <w:sz w:val="32"/>
          <w:szCs w:val="32"/>
          <w:shd w:val="clear" w:color="auto" w:fill="FFFFFF"/>
        </w:rPr>
        <w:t>（四）</w:t>
      </w:r>
      <w:r>
        <w:rPr>
          <w:rFonts w:ascii="Times New Roman" w:hAnsi="仿宋" w:eastAsia="仿宋" w:cs="Times New Roman"/>
          <w:color w:val="000000" w:themeColor="text1"/>
          <w:sz w:val="32"/>
          <w:szCs w:val="32"/>
        </w:rPr>
        <w:t>无不良信用记录、无违法记录，无质量、安全责任事故等不良情况发生。</w:t>
      </w:r>
    </w:p>
    <w:p>
      <w:pPr>
        <w:pStyle w:val="4"/>
        <w:widowControl w:val="0"/>
        <w:shd w:val="clear" w:color="auto" w:fill="FFFFFF"/>
        <w:adjustRightInd w:val="0"/>
        <w:snapToGrid w:val="0"/>
        <w:spacing w:before="0" w:beforeAutospacing="0" w:after="0" w:afterAutospacing="0" w:line="600" w:lineRule="exact"/>
        <w:ind w:firstLine="643" w:firstLineChars="200"/>
        <w:jc w:val="both"/>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kern w:val="2"/>
          <w:sz w:val="32"/>
          <w:szCs w:val="32"/>
          <w:shd w:val="clear" w:color="auto" w:fill="FFFFFF"/>
        </w:rPr>
        <w:t>（五）</w:t>
      </w:r>
      <w:r>
        <w:rPr>
          <w:rFonts w:ascii="Times New Roman" w:hAnsi="仿宋" w:eastAsia="仿宋" w:cs="Times New Roman"/>
          <w:color w:val="000000" w:themeColor="text1"/>
          <w:sz w:val="32"/>
          <w:szCs w:val="32"/>
        </w:rPr>
        <w:t>符合国家、自治区、柳州市其它上位文件相关要求。</w:t>
      </w:r>
    </w:p>
    <w:p>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color w:val="000000" w:themeColor="text1"/>
          <w:sz w:val="32"/>
          <w:szCs w:val="32"/>
          <w:shd w:val="clear" w:color="auto" w:fill="FFFFFF"/>
        </w:rPr>
      </w:pPr>
      <w:r>
        <w:rPr>
          <w:rFonts w:ascii="Times New Roman" w:hAnsi="黑体" w:eastAsia="黑体" w:cs="Times New Roman"/>
          <w:color w:val="000000" w:themeColor="text1"/>
          <w:sz w:val="32"/>
          <w:szCs w:val="32"/>
          <w:shd w:val="clear" w:color="auto" w:fill="FFFFFF"/>
        </w:rPr>
        <w:t>三、支持政策</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（一）科技政策倾斜扶持。</w:t>
      </w:r>
      <w:r>
        <w:rPr>
          <w:rFonts w:ascii="Times New Roman" w:hAnsi="仿宋" w:eastAsia="仿宋" w:cs="Times New Roman"/>
          <w:color w:val="000000" w:themeColor="text1"/>
          <w:kern w:val="0"/>
          <w:sz w:val="32"/>
          <w:szCs w:val="32"/>
        </w:rPr>
        <w:t>每年市财政设置预算经费重点支持高端科技服务业发展。</w:t>
      </w:r>
      <w:r>
        <w:rPr>
          <w:rFonts w:ascii="Times New Roman" w:hAnsi="仿宋" w:eastAsia="仿宋" w:cs="Times New Roman"/>
          <w:color w:val="000000" w:themeColor="text1"/>
          <w:sz w:val="32"/>
          <w:szCs w:val="32"/>
        </w:rPr>
        <w:t>柳州市</w:t>
      </w:r>
      <w:r>
        <w:rPr>
          <w:rFonts w:ascii="Times New Roman" w:hAnsi="仿宋" w:eastAsia="仿宋" w:cs="Times New Roman"/>
          <w:color w:val="000000" w:themeColor="text1"/>
          <w:sz w:val="32"/>
          <w:szCs w:val="32"/>
          <w:shd w:val="clear" w:color="auto" w:fill="FFFFFF"/>
        </w:rPr>
        <w:t>级科技项目、科技创新券、科技成果转化、平台建设、研发费用奖补等政策优先向高端科技服务业企业倾斜。对于新分立出来或新引育的高端科技服务业企业以</w:t>
      </w:r>
      <w:r>
        <w:rPr>
          <w:rFonts w:ascii="Times New Roman" w:hAnsi="Times New Roman" w:eastAsia="仿宋" w:cs="Times New Roman"/>
          <w:color w:val="000000" w:themeColor="text1"/>
          <w:sz w:val="32"/>
          <w:szCs w:val="32"/>
          <w:shd w:val="clear" w:color="auto" w:fill="FFFFFF"/>
        </w:rPr>
        <w:t>“</w:t>
      </w:r>
      <w:r>
        <w:rPr>
          <w:rFonts w:ascii="Times New Roman" w:hAnsi="仿宋" w:eastAsia="仿宋" w:cs="Times New Roman"/>
          <w:color w:val="000000" w:themeColor="text1"/>
          <w:sz w:val="32"/>
          <w:szCs w:val="32"/>
          <w:shd w:val="clear" w:color="auto" w:fill="FFFFFF"/>
        </w:rPr>
        <w:t>一事一议</w:t>
      </w:r>
      <w:r>
        <w:rPr>
          <w:rFonts w:ascii="Times New Roman" w:hAnsi="Times New Roman" w:eastAsia="仿宋" w:cs="Times New Roman"/>
          <w:color w:val="000000" w:themeColor="text1"/>
          <w:sz w:val="32"/>
          <w:szCs w:val="32"/>
          <w:shd w:val="clear" w:color="auto" w:fill="FFFFFF"/>
        </w:rPr>
        <w:t>”</w:t>
      </w:r>
      <w:r>
        <w:rPr>
          <w:rFonts w:ascii="Times New Roman" w:hAnsi="仿宋" w:eastAsia="仿宋" w:cs="Times New Roman"/>
          <w:color w:val="000000" w:themeColor="text1"/>
          <w:sz w:val="32"/>
          <w:szCs w:val="32"/>
          <w:shd w:val="clear" w:color="auto" w:fill="FFFFFF"/>
        </w:rPr>
        <w:t>的方式，择优给予总额不超过</w:t>
      </w:r>
      <w:r>
        <w:rPr>
          <w:rFonts w:ascii="Times New Roman" w:hAnsi="Times New Roman" w:eastAsia="仿宋" w:cs="Times New Roman"/>
          <w:color w:val="000000" w:themeColor="text1"/>
          <w:sz w:val="32"/>
          <w:szCs w:val="32"/>
          <w:shd w:val="clear" w:color="auto" w:fill="FFFFFF"/>
        </w:rPr>
        <w:t>100</w:t>
      </w:r>
      <w:r>
        <w:rPr>
          <w:rFonts w:ascii="Times New Roman" w:hAnsi="仿宋" w:eastAsia="仿宋" w:cs="Times New Roman"/>
          <w:color w:val="000000" w:themeColor="text1"/>
          <w:sz w:val="32"/>
          <w:szCs w:val="32"/>
          <w:shd w:val="clear" w:color="auto" w:fill="FFFFFF"/>
        </w:rPr>
        <w:t>万元且不大于其年度纳税总额地方财政留成部分的科技奖补。</w:t>
      </w:r>
    </w:p>
    <w:p>
      <w:pPr>
        <w:pStyle w:val="4"/>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大宗科技服务采购业务同等条件下，优先支持高端科技服务业企业承接。在法规政策允许的范围内，通过政府购买服务形式，将业务委托给能够上规入统的科技服务企业承担。对符合要求并通过合同考核的高端科技服务企业给予一定的服务运行后补助和奖励性后补助。包括：各类科技培训、重大科技展会活动的承办、科技成果转化、科技创新券管理、科技招商、招才引智与人才飞地建设、承办创新创业大赛、科技项目管理事务、高企增值与培育服务、</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科创贷</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等。</w:t>
      </w:r>
    </w:p>
    <w:p>
      <w:pPr>
        <w:adjustRightInd w:val="0"/>
        <w:snapToGrid w:val="0"/>
        <w:spacing w:line="600" w:lineRule="exact"/>
        <w:ind w:firstLine="667" w:firstLineChars="200"/>
        <w:rPr>
          <w:rFonts w:ascii="Times New Roman" w:hAnsi="Times New Roman" w:eastAsia="仿宋" w:cs="Times New Roman"/>
          <w:color w:val="000000" w:themeColor="text1"/>
          <w:spacing w:val="6"/>
          <w:sz w:val="32"/>
          <w:szCs w:val="32"/>
          <w:shd w:val="clear" w:color="auto" w:fill="FFFFFF"/>
        </w:rPr>
      </w:pPr>
      <w:r>
        <w:rPr>
          <w:rFonts w:ascii="Times New Roman" w:hAnsi="楷体" w:eastAsia="楷体" w:cs="Times New Roman"/>
          <w:b/>
          <w:bCs/>
          <w:color w:val="000000" w:themeColor="text1"/>
          <w:spacing w:val="6"/>
          <w:sz w:val="32"/>
          <w:szCs w:val="32"/>
          <w:shd w:val="clear" w:color="auto" w:fill="FFFFFF"/>
        </w:rPr>
        <w:t>（二）高端科技服务业企业</w:t>
      </w:r>
      <w:r>
        <w:rPr>
          <w:rFonts w:ascii="Times New Roman" w:hAnsi="Times New Roman" w:eastAsia="楷体" w:cs="Times New Roman"/>
          <w:b/>
          <w:bCs/>
          <w:color w:val="000000" w:themeColor="text1"/>
          <w:spacing w:val="6"/>
          <w:sz w:val="32"/>
          <w:szCs w:val="32"/>
          <w:shd w:val="clear" w:color="auto" w:fill="FFFFFF"/>
        </w:rPr>
        <w:t>“</w:t>
      </w:r>
      <w:r>
        <w:rPr>
          <w:rFonts w:ascii="Times New Roman" w:hAnsi="楷体" w:eastAsia="楷体" w:cs="Times New Roman"/>
          <w:b/>
          <w:bCs/>
          <w:color w:val="000000" w:themeColor="text1"/>
          <w:spacing w:val="6"/>
          <w:sz w:val="32"/>
          <w:szCs w:val="32"/>
          <w:shd w:val="clear" w:color="auto" w:fill="FFFFFF"/>
        </w:rPr>
        <w:t>双升</w:t>
      </w:r>
      <w:r>
        <w:rPr>
          <w:rFonts w:ascii="Times New Roman" w:hAnsi="Times New Roman" w:eastAsia="楷体" w:cs="Times New Roman"/>
          <w:b/>
          <w:bCs/>
          <w:color w:val="000000" w:themeColor="text1"/>
          <w:spacing w:val="6"/>
          <w:sz w:val="32"/>
          <w:szCs w:val="32"/>
          <w:shd w:val="clear" w:color="auto" w:fill="FFFFFF"/>
        </w:rPr>
        <w:t>”</w:t>
      </w:r>
      <w:r>
        <w:rPr>
          <w:rFonts w:ascii="Times New Roman" w:hAnsi="楷体" w:eastAsia="楷体" w:cs="Times New Roman"/>
          <w:b/>
          <w:bCs/>
          <w:color w:val="000000" w:themeColor="text1"/>
          <w:spacing w:val="6"/>
          <w:sz w:val="32"/>
          <w:szCs w:val="32"/>
          <w:shd w:val="clear" w:color="auto" w:fill="FFFFFF"/>
        </w:rPr>
        <w:t>奖补。</w:t>
      </w:r>
      <w:r>
        <w:rPr>
          <w:rFonts w:ascii="Times New Roman" w:hAnsi="仿宋" w:eastAsia="仿宋" w:cs="Times New Roman"/>
          <w:color w:val="000000" w:themeColor="text1"/>
          <w:spacing w:val="6"/>
          <w:sz w:val="32"/>
          <w:szCs w:val="32"/>
          <w:shd w:val="clear" w:color="auto" w:fill="FFFFFF"/>
        </w:rPr>
        <w:t>当年纳入规上科技服务业统计联网直报系统、符合高新技术企业双升条件的企业给予一次性奖补</w:t>
      </w:r>
      <w:r>
        <w:rPr>
          <w:rFonts w:ascii="Times New Roman" w:hAnsi="Times New Roman" w:eastAsia="仿宋" w:cs="Times New Roman"/>
          <w:color w:val="000000" w:themeColor="text1"/>
          <w:spacing w:val="6"/>
          <w:sz w:val="32"/>
          <w:szCs w:val="32"/>
          <w:shd w:val="clear" w:color="auto" w:fill="FFFFFF"/>
        </w:rPr>
        <w:t>30</w:t>
      </w:r>
      <w:r>
        <w:rPr>
          <w:rFonts w:ascii="Times New Roman" w:hAnsi="仿宋" w:eastAsia="仿宋" w:cs="Times New Roman"/>
          <w:color w:val="000000" w:themeColor="text1"/>
          <w:spacing w:val="6"/>
          <w:sz w:val="32"/>
          <w:szCs w:val="32"/>
          <w:shd w:val="clear" w:color="auto" w:fill="FFFFFF"/>
        </w:rPr>
        <w:t>万元，分年度达到双升条件的可补齐</w:t>
      </w:r>
      <w:r>
        <w:rPr>
          <w:rFonts w:ascii="Times New Roman" w:hAnsi="Times New Roman" w:eastAsia="仿宋" w:cs="Times New Roman"/>
          <w:color w:val="000000" w:themeColor="text1"/>
          <w:spacing w:val="6"/>
          <w:sz w:val="32"/>
          <w:szCs w:val="32"/>
          <w:shd w:val="clear" w:color="auto" w:fill="FFFFFF"/>
        </w:rPr>
        <w:t>30</w:t>
      </w:r>
      <w:r>
        <w:rPr>
          <w:rFonts w:ascii="Times New Roman" w:hAnsi="仿宋" w:eastAsia="仿宋" w:cs="Times New Roman"/>
          <w:color w:val="000000" w:themeColor="text1"/>
          <w:spacing w:val="6"/>
          <w:sz w:val="32"/>
          <w:szCs w:val="32"/>
          <w:shd w:val="clear" w:color="auto" w:fill="FFFFFF"/>
        </w:rPr>
        <w:t>万元奖补。</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（三）高端科技服务业企业增速奖补。</w:t>
      </w:r>
      <w:r>
        <w:rPr>
          <w:rFonts w:ascii="Times New Roman" w:hAnsi="仿宋" w:eastAsia="仿宋" w:cs="Times New Roman"/>
          <w:color w:val="000000" w:themeColor="text1"/>
          <w:sz w:val="32"/>
          <w:szCs w:val="32"/>
          <w:shd w:val="clear" w:color="auto" w:fill="FFFFFF"/>
        </w:rPr>
        <w:t>对现有已纳入统计在库的科技服务业企业上年度营业收入达到</w:t>
      </w:r>
      <w:r>
        <w:rPr>
          <w:rFonts w:ascii="Times New Roman" w:hAnsi="Times New Roman" w:eastAsia="仿宋" w:cs="Times New Roman"/>
          <w:color w:val="000000" w:themeColor="text1"/>
          <w:sz w:val="32"/>
          <w:szCs w:val="32"/>
          <w:shd w:val="clear" w:color="auto" w:fill="FFFFFF"/>
        </w:rPr>
        <w:t>0.1</w:t>
      </w:r>
      <w:r>
        <w:rPr>
          <w:rFonts w:ascii="Times New Roman" w:hAnsi="仿宋" w:eastAsia="仿宋" w:cs="Times New Roman"/>
          <w:color w:val="000000" w:themeColor="text1"/>
          <w:sz w:val="32"/>
          <w:szCs w:val="32"/>
          <w:shd w:val="clear" w:color="auto" w:fill="FFFFFF"/>
        </w:rPr>
        <w:t>亿元（含）</w:t>
      </w:r>
      <w:r>
        <w:rPr>
          <w:rFonts w:ascii="Times New Roman" w:hAnsi="Times New Roman" w:eastAsia="仿宋" w:cs="Times New Roman"/>
          <w:color w:val="000000" w:themeColor="text1"/>
          <w:sz w:val="32"/>
          <w:szCs w:val="32"/>
          <w:shd w:val="clear" w:color="auto" w:fill="FFFFFF"/>
        </w:rPr>
        <w:t>—0.5</w:t>
      </w:r>
      <w:r>
        <w:rPr>
          <w:rFonts w:ascii="Times New Roman" w:hAnsi="仿宋" w:eastAsia="仿宋" w:cs="Times New Roman"/>
          <w:color w:val="000000" w:themeColor="text1"/>
          <w:sz w:val="32"/>
          <w:szCs w:val="32"/>
          <w:shd w:val="clear" w:color="auto" w:fill="FFFFFF"/>
        </w:rPr>
        <w:t>亿元且本年度增长达到</w:t>
      </w:r>
      <w:r>
        <w:rPr>
          <w:rFonts w:ascii="Times New Roman" w:hAnsi="Times New Roman" w:eastAsia="仿宋" w:cs="Times New Roman"/>
          <w:color w:val="000000" w:themeColor="text1"/>
          <w:sz w:val="32"/>
          <w:szCs w:val="32"/>
          <w:shd w:val="clear" w:color="auto" w:fill="FFFFFF"/>
        </w:rPr>
        <w:t>50%</w:t>
      </w:r>
      <w:r>
        <w:rPr>
          <w:rFonts w:ascii="Times New Roman" w:hAnsi="仿宋" w:eastAsia="仿宋" w:cs="Times New Roman"/>
          <w:color w:val="000000" w:themeColor="text1"/>
          <w:sz w:val="32"/>
          <w:szCs w:val="32"/>
          <w:shd w:val="clear" w:color="auto" w:fill="FFFFFF"/>
        </w:rPr>
        <w:t>以上的，或上年度营业收入达到</w:t>
      </w:r>
      <w:r>
        <w:rPr>
          <w:rFonts w:ascii="Times New Roman" w:hAnsi="Times New Roman" w:eastAsia="仿宋" w:cs="Times New Roman"/>
          <w:color w:val="000000" w:themeColor="text1"/>
          <w:sz w:val="32"/>
          <w:szCs w:val="32"/>
          <w:shd w:val="clear" w:color="auto" w:fill="FFFFFF"/>
        </w:rPr>
        <w:t>0.5</w:t>
      </w:r>
      <w:r>
        <w:rPr>
          <w:rFonts w:ascii="Times New Roman" w:hAnsi="仿宋" w:eastAsia="仿宋" w:cs="Times New Roman"/>
          <w:color w:val="000000" w:themeColor="text1"/>
          <w:sz w:val="32"/>
          <w:szCs w:val="32"/>
          <w:shd w:val="clear" w:color="auto" w:fill="FFFFFF"/>
        </w:rPr>
        <w:t>亿元（含）</w:t>
      </w:r>
      <w:r>
        <w:rPr>
          <w:rFonts w:ascii="Times New Roman" w:hAnsi="Times New Roman" w:eastAsia="仿宋" w:cs="Times New Roman"/>
          <w:color w:val="000000" w:themeColor="text1"/>
          <w:sz w:val="32"/>
          <w:szCs w:val="32"/>
          <w:shd w:val="clear" w:color="auto" w:fill="FFFFFF"/>
        </w:rPr>
        <w:t>—1</w:t>
      </w:r>
      <w:r>
        <w:rPr>
          <w:rFonts w:ascii="Times New Roman" w:hAnsi="仿宋" w:eastAsia="仿宋" w:cs="Times New Roman"/>
          <w:color w:val="000000" w:themeColor="text1"/>
          <w:sz w:val="32"/>
          <w:szCs w:val="32"/>
          <w:shd w:val="clear" w:color="auto" w:fill="FFFFFF"/>
        </w:rPr>
        <w:t>亿元且本年度增长达到</w:t>
      </w:r>
      <w:r>
        <w:rPr>
          <w:rFonts w:ascii="Times New Roman" w:hAnsi="Times New Roman" w:eastAsia="仿宋" w:cs="Times New Roman"/>
          <w:color w:val="000000" w:themeColor="text1"/>
          <w:sz w:val="32"/>
          <w:szCs w:val="32"/>
          <w:shd w:val="clear" w:color="auto" w:fill="FFFFFF"/>
        </w:rPr>
        <w:t>30%</w:t>
      </w:r>
      <w:r>
        <w:rPr>
          <w:rFonts w:ascii="Times New Roman" w:hAnsi="仿宋" w:eastAsia="仿宋" w:cs="Times New Roman"/>
          <w:color w:val="000000" w:themeColor="text1"/>
          <w:sz w:val="32"/>
          <w:szCs w:val="32"/>
          <w:shd w:val="clear" w:color="auto" w:fill="FFFFFF"/>
        </w:rPr>
        <w:t>以上的，或上年度营业收入达到</w:t>
      </w:r>
      <w:r>
        <w:rPr>
          <w:rFonts w:ascii="Times New Roman" w:hAnsi="Times New Roman" w:eastAsia="仿宋" w:cs="Times New Roman"/>
          <w:color w:val="000000" w:themeColor="text1"/>
          <w:sz w:val="32"/>
          <w:szCs w:val="32"/>
          <w:shd w:val="clear" w:color="auto" w:fill="FFFFFF"/>
        </w:rPr>
        <w:t>1</w:t>
      </w:r>
      <w:r>
        <w:rPr>
          <w:rFonts w:ascii="Times New Roman" w:hAnsi="仿宋" w:eastAsia="仿宋" w:cs="Times New Roman"/>
          <w:color w:val="000000" w:themeColor="text1"/>
          <w:sz w:val="32"/>
          <w:szCs w:val="32"/>
          <w:shd w:val="clear" w:color="auto" w:fill="FFFFFF"/>
        </w:rPr>
        <w:t>亿元（含）以上且本年度增长达到</w:t>
      </w:r>
      <w:r>
        <w:rPr>
          <w:rFonts w:ascii="Times New Roman" w:hAnsi="Times New Roman" w:eastAsia="仿宋" w:cs="Times New Roman"/>
          <w:color w:val="000000" w:themeColor="text1"/>
          <w:sz w:val="32"/>
          <w:szCs w:val="32"/>
          <w:shd w:val="clear" w:color="auto" w:fill="FFFFFF"/>
        </w:rPr>
        <w:t>20%</w:t>
      </w:r>
      <w:r>
        <w:rPr>
          <w:rFonts w:ascii="Times New Roman" w:hAnsi="仿宋" w:eastAsia="仿宋" w:cs="Times New Roman"/>
          <w:color w:val="000000" w:themeColor="text1"/>
          <w:sz w:val="32"/>
          <w:szCs w:val="32"/>
          <w:shd w:val="clear" w:color="auto" w:fill="FFFFFF"/>
        </w:rPr>
        <w:t>以上的，每家按其科技服务营业收入增长额的</w:t>
      </w:r>
      <w:r>
        <w:rPr>
          <w:rFonts w:ascii="Times New Roman" w:hAnsi="Times New Roman" w:eastAsia="仿宋" w:cs="Times New Roman"/>
          <w:color w:val="000000" w:themeColor="text1"/>
          <w:sz w:val="32"/>
          <w:szCs w:val="32"/>
          <w:shd w:val="clear" w:color="auto" w:fill="FFFFFF"/>
        </w:rPr>
        <w:t>5‰</w:t>
      </w:r>
      <w:r>
        <w:rPr>
          <w:rFonts w:ascii="Times New Roman" w:hAnsi="仿宋" w:eastAsia="仿宋" w:cs="Times New Roman"/>
          <w:color w:val="000000" w:themeColor="text1"/>
          <w:sz w:val="32"/>
          <w:szCs w:val="32"/>
          <w:shd w:val="clear" w:color="auto" w:fill="FFFFFF"/>
        </w:rPr>
        <w:t>给予奖补。每家企业该项奖补年度限高</w:t>
      </w:r>
      <w:r>
        <w:rPr>
          <w:rFonts w:ascii="Times New Roman" w:hAnsi="Times New Roman" w:eastAsia="仿宋" w:cs="Times New Roman"/>
          <w:color w:val="000000" w:themeColor="text1"/>
          <w:sz w:val="32"/>
          <w:szCs w:val="32"/>
          <w:shd w:val="clear" w:color="auto" w:fill="FFFFFF"/>
        </w:rPr>
        <w:t>50</w:t>
      </w:r>
      <w:r>
        <w:rPr>
          <w:rFonts w:ascii="Times New Roman" w:hAnsi="仿宋" w:eastAsia="仿宋" w:cs="Times New Roman"/>
          <w:color w:val="000000" w:themeColor="text1"/>
          <w:sz w:val="32"/>
          <w:szCs w:val="32"/>
          <w:shd w:val="clear" w:color="auto" w:fill="FFFFFF"/>
        </w:rPr>
        <w:t>万元。</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（四）高端科技服务业企业人才个税奖补。</w:t>
      </w:r>
      <w:r>
        <w:rPr>
          <w:rFonts w:ascii="Times New Roman" w:hAnsi="仿宋" w:eastAsia="仿宋" w:cs="Times New Roman"/>
          <w:color w:val="000000" w:themeColor="text1"/>
          <w:sz w:val="32"/>
          <w:szCs w:val="32"/>
        </w:rPr>
        <w:t>在已纳入科技服务业统计联网直报系统的高端科技服务业企业工作，个人年薪税前超过</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万元（含），在柳州市缴纳个人所得税满一年的从业人员，市财政给予奖补额度相当于其上一年（自然年）在柳州市实际缴纳的</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工资和薪金所得</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个人所得税的市地方财政留成部分的</w:t>
      </w:r>
      <w:r>
        <w:rPr>
          <w:rFonts w:ascii="Times New Roman" w:hAnsi="Times New Roman" w:eastAsia="仿宋" w:cs="Times New Roman"/>
          <w:color w:val="000000" w:themeColor="text1"/>
          <w:sz w:val="32"/>
          <w:szCs w:val="32"/>
        </w:rPr>
        <w:t>50%</w:t>
      </w:r>
      <w:r>
        <w:rPr>
          <w:rFonts w:ascii="Times New Roman" w:hAnsi="仿宋" w:eastAsia="仿宋" w:cs="Times New Roman"/>
          <w:bCs/>
          <w:color w:val="000000" w:themeColor="text1"/>
          <w:sz w:val="32"/>
          <w:szCs w:val="32"/>
        </w:rPr>
        <w:t>，</w:t>
      </w:r>
      <w:r>
        <w:rPr>
          <w:rFonts w:ascii="Times New Roman" w:hAnsi="仿宋" w:eastAsia="仿宋" w:cs="Times New Roman"/>
          <w:color w:val="000000" w:themeColor="text1"/>
          <w:sz w:val="32"/>
          <w:szCs w:val="32"/>
        </w:rPr>
        <w:t>每年兑现一次，兑现时间为次年的</w:t>
      </w:r>
      <w:r>
        <w:rPr>
          <w:rFonts w:hint="eastAsia" w:ascii="Times New Roman" w:hAnsi="Times New Roman" w:eastAsia="仿宋" w:cs="Times New Roman"/>
          <w:color w:val="000000" w:themeColor="text1"/>
          <w:sz w:val="32"/>
          <w:szCs w:val="32"/>
          <w:lang w:eastAsia="zh-CN"/>
        </w:rPr>
        <w:t>6月30日</w:t>
      </w:r>
      <w:r>
        <w:rPr>
          <w:rFonts w:ascii="Times New Roman" w:hAnsi="仿宋" w:eastAsia="仿宋" w:cs="Times New Roman"/>
          <w:color w:val="000000" w:themeColor="text1"/>
          <w:sz w:val="32"/>
          <w:szCs w:val="32"/>
        </w:rPr>
        <w:t>前，每人年度该项奖补限高</w:t>
      </w:r>
      <w:r>
        <w:rPr>
          <w:rFonts w:ascii="Times New Roman" w:hAnsi="Times New Roman" w:eastAsia="仿宋" w:cs="Times New Roman"/>
          <w:color w:val="000000" w:themeColor="text1"/>
          <w:sz w:val="32"/>
          <w:szCs w:val="32"/>
        </w:rPr>
        <w:t>5</w:t>
      </w:r>
      <w:r>
        <w:rPr>
          <w:rFonts w:ascii="Times New Roman" w:hAnsi="仿宋" w:eastAsia="仿宋" w:cs="Times New Roman"/>
          <w:color w:val="000000" w:themeColor="text1"/>
          <w:sz w:val="32"/>
          <w:szCs w:val="32"/>
        </w:rPr>
        <w:t>万元，每个企业年度可获该项奖补人数限</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人。</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（五）支持科技孵化器高端化发展。</w:t>
      </w:r>
      <w:r>
        <w:rPr>
          <w:rFonts w:ascii="Times New Roman" w:hAnsi="仿宋" w:eastAsia="仿宋" w:cs="Times New Roman"/>
          <w:bCs/>
          <w:color w:val="000000" w:themeColor="text1"/>
          <w:sz w:val="32"/>
          <w:szCs w:val="32"/>
        </w:rPr>
        <w:t>在柳</w:t>
      </w:r>
      <w:r>
        <w:rPr>
          <w:rFonts w:ascii="Times New Roman" w:hAnsi="仿宋" w:eastAsia="仿宋" w:cs="Times New Roman"/>
          <w:color w:val="000000" w:themeColor="text1"/>
          <w:sz w:val="32"/>
          <w:szCs w:val="32"/>
        </w:rPr>
        <w:t>自治区级以上科技</w:t>
      </w:r>
      <w:r>
        <w:rPr>
          <w:rFonts w:hint="eastAsia" w:ascii="Times New Roman" w:hAnsi="仿宋" w:eastAsia="仿宋" w:cs="Times New Roman"/>
          <w:color w:val="000000" w:themeColor="text1"/>
          <w:sz w:val="32"/>
          <w:szCs w:val="32"/>
          <w:lang w:eastAsia="zh-CN"/>
        </w:rPr>
        <w:t>企业</w:t>
      </w:r>
      <w:r>
        <w:rPr>
          <w:rFonts w:ascii="Times New Roman" w:hAnsi="仿宋" w:eastAsia="仿宋" w:cs="Times New Roman"/>
          <w:color w:val="000000" w:themeColor="text1"/>
          <w:sz w:val="32"/>
          <w:szCs w:val="32"/>
        </w:rPr>
        <w:t>孵化器</w:t>
      </w:r>
      <w:r>
        <w:rPr>
          <w:rFonts w:hint="eastAsia" w:ascii="Times New Roman" w:hAnsi="仿宋" w:eastAsia="仿宋" w:cs="Times New Roman"/>
          <w:color w:val="000000" w:themeColor="text1"/>
          <w:sz w:val="32"/>
          <w:szCs w:val="32"/>
          <w:lang w:eastAsia="zh-CN"/>
        </w:rPr>
        <w:t>（简称“孵化器”）</w:t>
      </w:r>
      <w:r>
        <w:rPr>
          <w:rFonts w:ascii="Times New Roman" w:hAnsi="仿宋" w:eastAsia="仿宋" w:cs="Times New Roman"/>
          <w:color w:val="000000" w:themeColor="text1"/>
          <w:sz w:val="32"/>
          <w:szCs w:val="32"/>
        </w:rPr>
        <w:t>、大企业建孵化器等设立具有独立法人资格的科技服务业</w:t>
      </w:r>
      <w:r>
        <w:rPr>
          <w:rFonts w:hint="eastAsia" w:ascii="Times New Roman" w:hAnsi="仿宋" w:eastAsia="仿宋" w:cs="Times New Roman"/>
          <w:color w:val="000000" w:themeColor="text1"/>
          <w:sz w:val="32"/>
          <w:szCs w:val="32"/>
          <w:lang w:eastAsia="zh-CN"/>
        </w:rPr>
        <w:t>企业</w:t>
      </w:r>
      <w:r>
        <w:rPr>
          <w:rFonts w:ascii="Times New Roman" w:hAnsi="仿宋" w:eastAsia="仿宋" w:cs="Times New Roman"/>
          <w:color w:val="000000" w:themeColor="text1"/>
          <w:sz w:val="32"/>
          <w:szCs w:val="32"/>
        </w:rPr>
        <w:t>，通过整合运营实现其上规入统的，每年给予</w:t>
      </w:r>
      <w:r>
        <w:rPr>
          <w:rFonts w:ascii="Times New Roman" w:hAnsi="Times New Roman" w:eastAsia="仿宋" w:cs="Times New Roman"/>
          <w:color w:val="000000" w:themeColor="text1"/>
          <w:sz w:val="32"/>
          <w:szCs w:val="32"/>
        </w:rPr>
        <w:t>50</w:t>
      </w:r>
      <w:r>
        <w:rPr>
          <w:rFonts w:ascii="Times New Roman" w:hAnsi="仿宋" w:eastAsia="仿宋" w:cs="Times New Roman"/>
          <w:color w:val="000000" w:themeColor="text1"/>
          <w:sz w:val="32"/>
          <w:szCs w:val="32"/>
        </w:rPr>
        <w:t>万元运营经费；孵化器每引进一家高端科技服务业企业的，即奖</w:t>
      </w:r>
      <w:r>
        <w:rPr>
          <w:rFonts w:hint="eastAsia" w:ascii="Times New Roman" w:hAnsi="仿宋" w:eastAsia="仿宋" w:cs="Times New Roman"/>
          <w:color w:val="000000" w:themeColor="text1"/>
          <w:sz w:val="32"/>
          <w:szCs w:val="32"/>
          <w:lang w:eastAsia="zh-CN"/>
        </w:rPr>
        <w:t>补</w:t>
      </w:r>
      <w:r>
        <w:rPr>
          <w:rFonts w:ascii="Times New Roman" w:hAnsi="仿宋" w:eastAsia="仿宋" w:cs="Times New Roman"/>
          <w:color w:val="000000" w:themeColor="text1"/>
          <w:sz w:val="32"/>
          <w:szCs w:val="32"/>
        </w:rPr>
        <w:t>孵化器或引进高端科技服务业企业</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万元；每孵化出</w:t>
      </w:r>
      <w:r>
        <w:rPr>
          <w:rFonts w:ascii="Times New Roman" w:hAnsi="Times New Roman" w:eastAsia="仿宋" w:cs="Times New Roman"/>
          <w:color w:val="000000" w:themeColor="text1"/>
          <w:sz w:val="32"/>
          <w:szCs w:val="32"/>
        </w:rPr>
        <w:t>1</w:t>
      </w:r>
      <w:r>
        <w:rPr>
          <w:rFonts w:ascii="Times New Roman" w:hAnsi="仿宋" w:eastAsia="仿宋" w:cs="Times New Roman"/>
          <w:color w:val="000000" w:themeColor="text1"/>
          <w:sz w:val="32"/>
          <w:szCs w:val="32"/>
        </w:rPr>
        <w:t>个高端科技服务业企业，再给予</w:t>
      </w:r>
      <w:r>
        <w:rPr>
          <w:rFonts w:hint="eastAsia" w:ascii="Times New Roman" w:hAnsi="仿宋" w:eastAsia="仿宋" w:cs="Times New Roman"/>
          <w:color w:val="000000" w:themeColor="text1"/>
          <w:sz w:val="32"/>
          <w:szCs w:val="32"/>
          <w:lang w:eastAsia="zh-CN"/>
        </w:rPr>
        <w:t>孵化器</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万元</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家的奖补。</w:t>
      </w:r>
    </w:p>
    <w:p>
      <w:pPr>
        <w:adjustRightInd w:val="0"/>
        <w:snapToGrid w:val="0"/>
        <w:spacing w:line="600" w:lineRule="exact"/>
        <w:ind w:firstLine="643" w:firstLineChars="200"/>
        <w:rPr>
          <w:rFonts w:ascii="Times New Roman" w:hAnsi="Times New Roman" w:eastAsia="仿宋" w:cs="Times New Roman"/>
          <w:color w:val="000000" w:themeColor="text1"/>
          <w:kern w:val="0"/>
          <w:sz w:val="32"/>
          <w:szCs w:val="32"/>
        </w:rPr>
      </w:pPr>
      <w:r>
        <w:rPr>
          <w:rFonts w:ascii="Times New Roman" w:hAnsi="楷体" w:eastAsia="楷体" w:cs="Times New Roman"/>
          <w:b/>
          <w:bCs/>
          <w:color w:val="000000" w:themeColor="text1"/>
          <w:sz w:val="32"/>
          <w:szCs w:val="32"/>
          <w:shd w:val="clear" w:color="auto" w:fill="FFFFFF"/>
        </w:rPr>
        <w:t>（六）科技金融发展科技服务业。</w:t>
      </w:r>
      <w:r>
        <w:rPr>
          <w:rFonts w:ascii="Times New Roman" w:hAnsi="仿宋" w:eastAsia="仿宋" w:cs="Times New Roman"/>
          <w:color w:val="000000" w:themeColor="text1"/>
          <w:sz w:val="32"/>
          <w:szCs w:val="32"/>
        </w:rPr>
        <w:t>银行按相关规定政策给予高端科技服务业企业一定的信贷优惠；适时设立</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市科创贷</w:t>
      </w:r>
      <w:r>
        <w:rPr>
          <w:rFonts w:ascii="Times New Roman" w:hAnsi="Times New Roman" w:eastAsia="仿宋" w:cs="Times New Roman"/>
          <w:color w:val="000000" w:themeColor="text1"/>
          <w:sz w:val="32"/>
          <w:szCs w:val="32"/>
        </w:rPr>
        <w:t>”</w:t>
      </w:r>
      <w:r>
        <w:rPr>
          <w:rFonts w:ascii="Times New Roman" w:hAnsi="仿宋" w:eastAsia="仿宋" w:cs="Times New Roman"/>
          <w:color w:val="000000" w:themeColor="text1"/>
          <w:sz w:val="32"/>
          <w:szCs w:val="32"/>
        </w:rPr>
        <w:t>对连续两年营业收入增速超</w:t>
      </w:r>
      <w:r>
        <w:rPr>
          <w:rFonts w:ascii="Times New Roman" w:hAnsi="Times New Roman" w:eastAsia="仿宋" w:cs="Times New Roman"/>
          <w:color w:val="000000" w:themeColor="text1"/>
          <w:sz w:val="32"/>
          <w:szCs w:val="32"/>
        </w:rPr>
        <w:t>20%</w:t>
      </w:r>
      <w:r>
        <w:rPr>
          <w:rFonts w:ascii="Times New Roman" w:hAnsi="仿宋" w:eastAsia="仿宋" w:cs="Times New Roman"/>
          <w:color w:val="000000" w:themeColor="text1"/>
          <w:sz w:val="32"/>
          <w:szCs w:val="32"/>
        </w:rPr>
        <w:t>的高端科技服务业企业给予贷款贴息，额度为科技服务业务贷款已还利息的</w:t>
      </w:r>
      <w:r>
        <w:rPr>
          <w:rFonts w:ascii="Times New Roman" w:hAnsi="Times New Roman" w:eastAsia="仿宋" w:cs="Times New Roman"/>
          <w:color w:val="000000" w:themeColor="text1"/>
          <w:sz w:val="32"/>
          <w:szCs w:val="32"/>
        </w:rPr>
        <w:t>50%</w:t>
      </w:r>
      <w:r>
        <w:rPr>
          <w:rFonts w:ascii="Times New Roman" w:hAnsi="仿宋" w:eastAsia="仿宋" w:cs="Times New Roman"/>
          <w:color w:val="000000" w:themeColor="text1"/>
          <w:sz w:val="32"/>
          <w:szCs w:val="32"/>
        </w:rPr>
        <w:t>。同时推荐给政府基金或风投进行创业投资及辅导上市；</w:t>
      </w:r>
      <w:r>
        <w:rPr>
          <w:rFonts w:ascii="Times New Roman" w:hAnsi="仿宋" w:eastAsia="仿宋" w:cs="Times New Roman"/>
          <w:color w:val="000000" w:themeColor="text1"/>
          <w:kern w:val="0"/>
          <w:sz w:val="32"/>
          <w:szCs w:val="32"/>
        </w:rPr>
        <w:t>鼓励金融机构发展融资担保、贷款风险补偿、知识产权信用担保等产品，引导企业利用科技险种分担风险。</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（七）优先支持高端科技服务人才。</w:t>
      </w:r>
      <w:r>
        <w:rPr>
          <w:rFonts w:ascii="Times New Roman" w:hAnsi="仿宋" w:eastAsia="仿宋" w:cs="Times New Roman"/>
          <w:color w:val="000000" w:themeColor="text1"/>
          <w:kern w:val="0"/>
          <w:sz w:val="32"/>
          <w:szCs w:val="32"/>
        </w:rPr>
        <w:t>落实《柳州市关于加快新时代人才集聚的若干措施》，以柔性引才和</w:t>
      </w:r>
      <w:r>
        <w:rPr>
          <w:rFonts w:ascii="Times New Roman" w:hAnsi="Times New Roman" w:eastAsia="仿宋" w:cs="Times New Roman"/>
          <w:color w:val="000000" w:themeColor="text1"/>
          <w:kern w:val="0"/>
          <w:sz w:val="32"/>
          <w:szCs w:val="32"/>
        </w:rPr>
        <w:t>“</w:t>
      </w:r>
      <w:r>
        <w:rPr>
          <w:rFonts w:ascii="Times New Roman" w:hAnsi="仿宋" w:eastAsia="仿宋" w:cs="Times New Roman"/>
          <w:color w:val="000000" w:themeColor="text1"/>
          <w:kern w:val="0"/>
          <w:sz w:val="32"/>
          <w:szCs w:val="32"/>
        </w:rPr>
        <w:t>科创飞地</w:t>
      </w:r>
      <w:r>
        <w:rPr>
          <w:rFonts w:ascii="Times New Roman" w:hAnsi="Times New Roman" w:eastAsia="仿宋" w:cs="Times New Roman"/>
          <w:color w:val="000000" w:themeColor="text1"/>
          <w:kern w:val="0"/>
          <w:sz w:val="32"/>
          <w:szCs w:val="32"/>
        </w:rPr>
        <w:t>”</w:t>
      </w:r>
      <w:r>
        <w:rPr>
          <w:rFonts w:ascii="Times New Roman" w:hAnsi="仿宋" w:eastAsia="仿宋" w:cs="Times New Roman"/>
          <w:color w:val="000000" w:themeColor="text1"/>
          <w:kern w:val="0"/>
          <w:sz w:val="32"/>
          <w:szCs w:val="32"/>
        </w:rPr>
        <w:t>等方式，支持引育</w:t>
      </w:r>
      <w:r>
        <w:rPr>
          <w:rFonts w:ascii="Times New Roman" w:hAnsi="仿宋" w:eastAsia="仿宋" w:cs="Times New Roman"/>
          <w:color w:val="000000" w:themeColor="text1"/>
          <w:sz w:val="32"/>
          <w:szCs w:val="32"/>
        </w:rPr>
        <w:t>高端科技服务业人才</w:t>
      </w:r>
      <w:r>
        <w:rPr>
          <w:rFonts w:ascii="Times New Roman" w:hAnsi="仿宋" w:eastAsia="仿宋" w:cs="Times New Roman"/>
          <w:color w:val="000000" w:themeColor="text1"/>
          <w:kern w:val="0"/>
          <w:sz w:val="32"/>
          <w:szCs w:val="32"/>
        </w:rPr>
        <w:t>。</w:t>
      </w:r>
      <w:r>
        <w:rPr>
          <w:rFonts w:ascii="Times New Roman" w:hAnsi="仿宋" w:eastAsia="仿宋" w:cs="Times New Roman"/>
          <w:color w:val="000000" w:themeColor="text1"/>
          <w:sz w:val="32"/>
          <w:szCs w:val="32"/>
        </w:rPr>
        <w:t>以业绩和能力为导向，吸纳一批高端科技服务业人才进入各级科技评审专家库管理。高等院校、科研院所和国有企事业单位科技人员离岗创办科技服务业企业的，按规定</w:t>
      </w:r>
      <w:r>
        <w:rPr>
          <w:rFonts w:ascii="Times New Roman" w:hAnsi="Times New Roman" w:eastAsia="仿宋" w:cs="Times New Roman"/>
          <w:color w:val="000000" w:themeColor="text1"/>
          <w:sz w:val="32"/>
          <w:szCs w:val="32"/>
        </w:rPr>
        <w:t>3</w:t>
      </w:r>
      <w:r>
        <w:rPr>
          <w:rFonts w:ascii="Times New Roman" w:hAnsi="仿宋" w:eastAsia="仿宋" w:cs="Times New Roman"/>
          <w:color w:val="000000" w:themeColor="text1"/>
          <w:sz w:val="32"/>
          <w:szCs w:val="32"/>
        </w:rPr>
        <w:t>年内保留其原有身份和职称，档案工资可按国家规定进行调整。</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（八）政府采购给予加分鼓励。</w:t>
      </w:r>
      <w:r>
        <w:rPr>
          <w:rFonts w:ascii="Times New Roman" w:hAnsi="仿宋" w:eastAsia="仿宋" w:cs="Times New Roman"/>
          <w:color w:val="000000" w:themeColor="text1"/>
          <w:sz w:val="32"/>
          <w:szCs w:val="32"/>
        </w:rPr>
        <w:t>将规上科技服务业纳入政府采购目录，同等条件下高端科技服务业企业优先承接政府采购项目；在参与政府招投标、政府购买服务评分中给予</w:t>
      </w:r>
      <w:r>
        <w:rPr>
          <w:rFonts w:ascii="Times New Roman" w:hAnsi="Times New Roman" w:eastAsia="仿宋" w:cs="Times New Roman"/>
          <w:color w:val="000000" w:themeColor="text1"/>
          <w:sz w:val="32"/>
          <w:szCs w:val="32"/>
        </w:rPr>
        <w:t>5</w:t>
      </w:r>
      <w:r>
        <w:rPr>
          <w:rFonts w:ascii="Times New Roman" w:hAnsi="Times New Roman" w:eastAsia="仿宋" w:cs="Times New Roman"/>
          <w:b/>
          <w:color w:val="000000" w:themeColor="text1"/>
          <w:sz w:val="32"/>
          <w:szCs w:val="32"/>
        </w:rPr>
        <w:t>-</w:t>
      </w:r>
      <w:r>
        <w:rPr>
          <w:rFonts w:ascii="Times New Roman" w:hAnsi="Times New Roman" w:eastAsia="仿宋" w:cs="Times New Roman"/>
          <w:color w:val="000000" w:themeColor="text1"/>
          <w:sz w:val="32"/>
          <w:szCs w:val="32"/>
        </w:rPr>
        <w:t>10</w:t>
      </w:r>
      <w:r>
        <w:rPr>
          <w:rFonts w:ascii="Times New Roman" w:hAnsi="仿宋" w:eastAsia="仿宋" w:cs="Times New Roman"/>
          <w:color w:val="000000" w:themeColor="text1"/>
          <w:sz w:val="32"/>
          <w:szCs w:val="32"/>
        </w:rPr>
        <w:t>分的加分鼓励。</w:t>
      </w:r>
    </w:p>
    <w:p>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color w:val="000000" w:themeColor="text1"/>
          <w:sz w:val="32"/>
          <w:szCs w:val="32"/>
          <w:shd w:val="clear" w:color="auto" w:fill="FFFFFF"/>
        </w:rPr>
      </w:pPr>
      <w:r>
        <w:rPr>
          <w:rFonts w:ascii="Times New Roman" w:hAnsi="黑体" w:eastAsia="黑体" w:cs="Times New Roman"/>
          <w:color w:val="000000" w:themeColor="text1"/>
          <w:sz w:val="32"/>
          <w:szCs w:val="32"/>
          <w:shd w:val="clear" w:color="auto" w:fill="FFFFFF"/>
        </w:rPr>
        <w:t>四、奖补程序与要求</w:t>
      </w:r>
    </w:p>
    <w:p>
      <w:pPr>
        <w:adjustRightInd w:val="0"/>
        <w:snapToGrid w:val="0"/>
        <w:spacing w:line="600" w:lineRule="exact"/>
        <w:ind w:firstLine="643" w:firstLineChars="200"/>
        <w:rPr>
          <w:rFonts w:ascii="Times New Roman" w:hAnsi="Times New Roman" w:eastAsia="楷体" w:cs="Times New Roman"/>
          <w:b/>
          <w:bCs/>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（一）奖补程序</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1. </w:t>
      </w:r>
      <w:r>
        <w:rPr>
          <w:rFonts w:ascii="Times New Roman" w:hAnsi="仿宋" w:eastAsia="仿宋" w:cs="Times New Roman"/>
          <w:color w:val="000000" w:themeColor="text1"/>
          <w:sz w:val="32"/>
          <w:szCs w:val="32"/>
        </w:rPr>
        <w:t>组织申报。各县区（开发区）、有关部门组织企业进行申报。</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2. </w:t>
      </w:r>
      <w:r>
        <w:rPr>
          <w:rFonts w:ascii="Times New Roman" w:hAnsi="仿宋" w:eastAsia="仿宋" w:cs="Times New Roman"/>
          <w:color w:val="000000" w:themeColor="text1"/>
          <w:sz w:val="32"/>
          <w:szCs w:val="32"/>
        </w:rPr>
        <w:t>材料审核。市科技局牵头组织召开专家评审会，对各县区（开发区）、有关部门申报的企业情况进行综合考评，初步确定奖补名单。</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3. </w:t>
      </w:r>
      <w:r>
        <w:rPr>
          <w:rFonts w:ascii="Times New Roman" w:hAnsi="仿宋" w:eastAsia="仿宋" w:cs="Times New Roman"/>
          <w:color w:val="000000" w:themeColor="text1"/>
          <w:sz w:val="32"/>
          <w:szCs w:val="32"/>
        </w:rPr>
        <w:t>公示公开。奖补名单初步确定后将进行公示公开，接受社会各界和人民群众的监督。</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4. </w:t>
      </w:r>
      <w:r>
        <w:rPr>
          <w:rFonts w:ascii="Times New Roman" w:hAnsi="仿宋" w:eastAsia="仿宋" w:cs="Times New Roman"/>
          <w:color w:val="000000" w:themeColor="text1"/>
          <w:sz w:val="32"/>
          <w:szCs w:val="32"/>
        </w:rPr>
        <w:t>兑付奖励。市科技局将奖补名单和公示结果上报市政府，根据市人民政府审定的结果对符合条件的企业兑付奖补经费。</w:t>
      </w:r>
    </w:p>
    <w:p>
      <w:pPr>
        <w:adjustRightInd w:val="0"/>
        <w:snapToGrid w:val="0"/>
        <w:spacing w:line="600" w:lineRule="exact"/>
        <w:ind w:firstLine="643" w:firstLineChars="200"/>
        <w:rPr>
          <w:rFonts w:ascii="Times New Roman" w:hAnsi="Times New Roman" w:eastAsia="楷体" w:cs="Times New Roman"/>
          <w:b/>
          <w:bCs/>
          <w:color w:val="000000" w:themeColor="text1"/>
          <w:sz w:val="32"/>
          <w:szCs w:val="32"/>
          <w:shd w:val="clear" w:color="auto" w:fill="FFFFFF"/>
        </w:rPr>
      </w:pPr>
      <w:r>
        <w:rPr>
          <w:rFonts w:ascii="Times New Roman" w:hAnsi="楷体" w:eastAsia="楷体" w:cs="Times New Roman"/>
          <w:b/>
          <w:bCs/>
          <w:color w:val="000000" w:themeColor="text1"/>
          <w:sz w:val="32"/>
          <w:szCs w:val="32"/>
          <w:shd w:val="clear" w:color="auto" w:fill="FFFFFF"/>
        </w:rPr>
        <w:t>（二）奖补要求</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1. </w:t>
      </w:r>
      <w:r>
        <w:rPr>
          <w:rFonts w:ascii="Times New Roman" w:hAnsi="仿宋" w:eastAsia="仿宋" w:cs="Times New Roman"/>
          <w:color w:val="000000" w:themeColor="text1"/>
          <w:sz w:val="32"/>
          <w:szCs w:val="32"/>
        </w:rPr>
        <w:t>奖补经费从市财政专项资金中安排；企业的统计数据均以报送国家统计局企业一套表数据为准。</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2. </w:t>
      </w:r>
      <w:r>
        <w:rPr>
          <w:rFonts w:ascii="Times New Roman" w:hAnsi="仿宋" w:eastAsia="仿宋" w:cs="Times New Roman"/>
          <w:color w:val="000000" w:themeColor="text1"/>
          <w:sz w:val="32"/>
          <w:szCs w:val="32"/>
        </w:rPr>
        <w:t>若企业年内同时符合并申报两项（或两项以上）奖补，</w:t>
      </w:r>
      <w:r>
        <w:rPr>
          <w:rFonts w:hint="eastAsia" w:ascii="Times New Roman" w:hAnsi="仿宋" w:eastAsia="仿宋" w:cs="Times New Roman"/>
          <w:color w:val="000000" w:themeColor="text1"/>
          <w:sz w:val="32"/>
          <w:szCs w:val="32"/>
        </w:rPr>
        <w:t>财政经费支持</w:t>
      </w:r>
      <w:r>
        <w:rPr>
          <w:rFonts w:ascii="Times New Roman" w:hAnsi="仿宋" w:eastAsia="仿宋" w:cs="Times New Roman"/>
          <w:color w:val="000000" w:themeColor="text1"/>
          <w:sz w:val="32"/>
          <w:szCs w:val="32"/>
        </w:rPr>
        <w:t>限高</w:t>
      </w:r>
      <w:r>
        <w:rPr>
          <w:rFonts w:ascii="Times New Roman" w:hAnsi="Times New Roman" w:eastAsia="仿宋" w:cs="Times New Roman"/>
          <w:color w:val="000000" w:themeColor="text1"/>
          <w:sz w:val="32"/>
          <w:szCs w:val="32"/>
        </w:rPr>
        <w:t>500</w:t>
      </w:r>
      <w:r>
        <w:rPr>
          <w:rFonts w:ascii="Times New Roman" w:hAnsi="仿宋" w:eastAsia="仿宋" w:cs="Times New Roman"/>
          <w:color w:val="000000" w:themeColor="text1"/>
          <w:sz w:val="32"/>
          <w:szCs w:val="32"/>
        </w:rPr>
        <w:t>万元。</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 w:cs="Times New Roman"/>
          <w:color w:val="000000" w:themeColor="text1"/>
          <w:sz w:val="32"/>
          <w:szCs w:val="32"/>
        </w:rPr>
        <w:t xml:space="preserve">3. </w:t>
      </w:r>
      <w:r>
        <w:rPr>
          <w:rFonts w:ascii="Times New Roman" w:hAnsi="仿宋" w:eastAsia="仿宋" w:cs="Times New Roman"/>
          <w:color w:val="000000" w:themeColor="text1"/>
          <w:sz w:val="32"/>
          <w:szCs w:val="32"/>
        </w:rPr>
        <w:t>同等条件下，在项目申报、其他补助资金安排、评级创优、资格认定等方面对高端科技服务业企业实行政策倾斜。鼓励各县区（开发区）出台支持服务业企业加快发展的配套政策措施。</w:t>
      </w:r>
    </w:p>
    <w:p>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color w:val="000000" w:themeColor="text1"/>
          <w:sz w:val="32"/>
          <w:szCs w:val="32"/>
          <w:shd w:val="clear" w:color="auto" w:fill="FFFFFF"/>
        </w:rPr>
      </w:pPr>
      <w:r>
        <w:rPr>
          <w:rFonts w:ascii="Times New Roman" w:hAnsi="黑体" w:eastAsia="黑体" w:cs="Times New Roman"/>
          <w:color w:val="000000" w:themeColor="text1"/>
          <w:sz w:val="32"/>
          <w:szCs w:val="32"/>
          <w:shd w:val="clear" w:color="auto" w:fill="FFFFFF"/>
        </w:rPr>
        <w:t>五、职责分工</w:t>
      </w:r>
      <w:r>
        <w:rPr>
          <w:rFonts w:ascii="Times New Roman" w:hAnsi="Times New Roman" w:eastAsia="黑体" w:cs="Times New Roman"/>
          <w:color w:val="000000" w:themeColor="text1"/>
          <w:sz w:val="32"/>
          <w:szCs w:val="32"/>
          <w:shd w:val="clear" w:color="auto" w:fill="FFFFFF"/>
        </w:rPr>
        <w:t xml:space="preserve"> </w:t>
      </w:r>
      <w:r>
        <w:rPr>
          <w:rFonts w:ascii="Times New Roman" w:hAnsi="黑体" w:eastAsia="黑体" w:cs="Times New Roman"/>
          <w:color w:val="000000" w:themeColor="text1"/>
          <w:sz w:val="32"/>
          <w:szCs w:val="32"/>
          <w:shd w:val="clear" w:color="auto" w:fill="FFFFFF"/>
        </w:rPr>
        <w:t>　</w:t>
      </w:r>
    </w:p>
    <w:p>
      <w:pPr>
        <w:adjustRightInd w:val="0"/>
        <w:snapToGrid w:val="0"/>
        <w:spacing w:line="600"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bCs/>
          <w:color w:val="000000" w:themeColor="text1"/>
          <w:sz w:val="32"/>
          <w:szCs w:val="32"/>
        </w:rPr>
        <w:t>高端科</w:t>
      </w:r>
      <w:r>
        <w:rPr>
          <w:rFonts w:ascii="Times New Roman" w:hAnsi="仿宋" w:eastAsia="仿宋" w:cs="Times New Roman"/>
          <w:color w:val="000000" w:themeColor="text1"/>
          <w:sz w:val="32"/>
          <w:szCs w:val="32"/>
        </w:rPr>
        <w:t>技服务业企业奖补评选及认定工作在市科技领导小组领导下，由市科技局牵头，各有关单位协同开展，职责如下。</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（一）</w:t>
      </w:r>
      <w:r>
        <w:rPr>
          <w:rFonts w:ascii="Times New Roman" w:hAnsi="仿宋" w:eastAsia="仿宋" w:cs="Times New Roman"/>
          <w:color w:val="000000" w:themeColor="text1"/>
          <w:sz w:val="32"/>
          <w:szCs w:val="32"/>
        </w:rPr>
        <w:t>市科技局牵头组织高端科技服务业企业奖补工作。</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（二）</w:t>
      </w:r>
      <w:r>
        <w:rPr>
          <w:rFonts w:ascii="Times New Roman" w:hAnsi="仿宋" w:eastAsia="仿宋" w:cs="Times New Roman"/>
          <w:color w:val="000000" w:themeColor="text1"/>
          <w:kern w:val="0"/>
          <w:sz w:val="32"/>
          <w:szCs w:val="32"/>
        </w:rPr>
        <w:t>市科技局、市</w:t>
      </w:r>
      <w:r>
        <w:rPr>
          <w:rFonts w:ascii="Times New Roman" w:hAnsi="仿宋" w:eastAsia="仿宋" w:cs="Times New Roman"/>
          <w:color w:val="000000" w:themeColor="text1"/>
          <w:kern w:val="0"/>
          <w:sz w:val="32"/>
          <w:szCs w:val="32"/>
          <w:lang w:eastAsia="ar-SA"/>
        </w:rPr>
        <w:t>发展改革委</w:t>
      </w:r>
      <w:r>
        <w:rPr>
          <w:rFonts w:ascii="Times New Roman" w:hAnsi="仿宋" w:eastAsia="仿宋" w:cs="Times New Roman"/>
          <w:color w:val="000000" w:themeColor="text1"/>
          <w:kern w:val="0"/>
          <w:sz w:val="32"/>
          <w:szCs w:val="32"/>
        </w:rPr>
        <w:t>、市</w:t>
      </w:r>
      <w:r>
        <w:rPr>
          <w:rFonts w:ascii="Times New Roman" w:hAnsi="仿宋" w:eastAsia="仿宋" w:cs="Times New Roman"/>
          <w:color w:val="000000" w:themeColor="text1"/>
          <w:kern w:val="0"/>
          <w:sz w:val="32"/>
          <w:szCs w:val="32"/>
          <w:lang w:eastAsia="ar-SA"/>
        </w:rPr>
        <w:t>工业和信息化</w:t>
      </w:r>
      <w:r>
        <w:rPr>
          <w:rFonts w:ascii="Times New Roman" w:hAnsi="仿宋" w:eastAsia="仿宋" w:cs="Times New Roman"/>
          <w:color w:val="000000" w:themeColor="text1"/>
          <w:kern w:val="0"/>
          <w:sz w:val="32"/>
          <w:szCs w:val="32"/>
        </w:rPr>
        <w:t>局、市</w:t>
      </w:r>
      <w:r>
        <w:rPr>
          <w:rFonts w:ascii="Times New Roman" w:hAnsi="仿宋" w:eastAsia="仿宋" w:cs="Times New Roman"/>
          <w:color w:val="000000" w:themeColor="text1"/>
          <w:kern w:val="0"/>
          <w:sz w:val="32"/>
          <w:szCs w:val="32"/>
          <w:lang w:eastAsia="ar-SA"/>
        </w:rPr>
        <w:t>商务</w:t>
      </w:r>
      <w:r>
        <w:rPr>
          <w:rFonts w:ascii="Times New Roman" w:hAnsi="仿宋" w:eastAsia="仿宋" w:cs="Times New Roman"/>
          <w:color w:val="000000" w:themeColor="text1"/>
          <w:kern w:val="0"/>
          <w:sz w:val="32"/>
          <w:szCs w:val="32"/>
        </w:rPr>
        <w:t>局、财政局（金融办）、市</w:t>
      </w:r>
      <w:r>
        <w:rPr>
          <w:rFonts w:ascii="Times New Roman" w:hAnsi="仿宋" w:eastAsia="仿宋" w:cs="Times New Roman"/>
          <w:color w:val="000000" w:themeColor="text1"/>
          <w:kern w:val="0"/>
          <w:sz w:val="32"/>
          <w:szCs w:val="32"/>
          <w:lang w:eastAsia="ar-SA"/>
        </w:rPr>
        <w:t>卫生健康委</w:t>
      </w:r>
      <w:r>
        <w:rPr>
          <w:rFonts w:ascii="Times New Roman" w:hAnsi="仿宋" w:eastAsia="仿宋" w:cs="Times New Roman"/>
          <w:color w:val="000000" w:themeColor="text1"/>
          <w:kern w:val="0"/>
          <w:sz w:val="32"/>
          <w:szCs w:val="32"/>
        </w:rPr>
        <w:t>、市住房城乡建设局、市税务局等</w:t>
      </w:r>
      <w:r>
        <w:rPr>
          <w:rFonts w:ascii="Times New Roman" w:hAnsi="仿宋" w:eastAsia="仿宋" w:cs="Times New Roman"/>
          <w:color w:val="000000" w:themeColor="text1"/>
          <w:sz w:val="32"/>
          <w:szCs w:val="32"/>
        </w:rPr>
        <w:t>负责协调相应的高端科技服务业企业奖补工作。</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（三）</w:t>
      </w:r>
      <w:r>
        <w:rPr>
          <w:rFonts w:ascii="Times New Roman" w:hAnsi="仿宋" w:eastAsia="仿宋" w:cs="Times New Roman"/>
          <w:color w:val="000000" w:themeColor="text1"/>
          <w:sz w:val="32"/>
          <w:szCs w:val="32"/>
        </w:rPr>
        <w:t>市财政局负责年度预算资金安排和监督管理工作，市科技局负责资金使用和日常监督管理工作。</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（四）</w:t>
      </w:r>
      <w:r>
        <w:rPr>
          <w:rFonts w:ascii="Times New Roman" w:hAnsi="仿宋" w:eastAsia="仿宋" w:cs="Times New Roman"/>
          <w:color w:val="000000" w:themeColor="text1"/>
          <w:sz w:val="32"/>
          <w:szCs w:val="32"/>
        </w:rPr>
        <w:t>市税务局负责措施中所涉及税收奖补相关涉税数据的提供和协助开展相关培训等工作。负责审核参评企业依法纳税情况，落实好国家及自治区各项税收优惠政策。</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（五）</w:t>
      </w:r>
      <w:r>
        <w:rPr>
          <w:rFonts w:ascii="Times New Roman" w:hAnsi="仿宋" w:eastAsia="仿宋" w:cs="Times New Roman"/>
          <w:color w:val="000000" w:themeColor="text1"/>
          <w:sz w:val="32"/>
          <w:szCs w:val="32"/>
        </w:rPr>
        <w:t>市统计局负责做好统计业务指导，审核参评企业相关统计数据，会同市科技局督促规上科技服务业企业全面、准确地填报统计数据，及时将符合条件的企业纳入统计库。</w:t>
      </w:r>
    </w:p>
    <w:p>
      <w:pPr>
        <w:adjustRightInd w:val="0"/>
        <w:snapToGrid w:val="0"/>
        <w:spacing w:line="600" w:lineRule="exact"/>
        <w:ind w:firstLine="643" w:firstLineChars="200"/>
        <w:rPr>
          <w:rFonts w:ascii="Times New Roman" w:hAnsi="Times New Roman" w:eastAsia="仿宋" w:cs="Times New Roman"/>
          <w:color w:val="000000" w:themeColor="text1"/>
          <w:sz w:val="32"/>
          <w:szCs w:val="32"/>
        </w:rPr>
      </w:pPr>
      <w:r>
        <w:rPr>
          <w:rFonts w:ascii="Times New Roman" w:hAnsi="楷体" w:eastAsia="楷体" w:cs="Times New Roman"/>
          <w:b/>
          <w:bCs/>
          <w:color w:val="000000" w:themeColor="text1"/>
          <w:sz w:val="32"/>
          <w:szCs w:val="32"/>
          <w:shd w:val="clear" w:color="auto" w:fill="FFFFFF"/>
        </w:rPr>
        <w:t>（六）</w:t>
      </w:r>
      <w:r>
        <w:rPr>
          <w:rFonts w:ascii="Times New Roman" w:hAnsi="仿宋" w:eastAsia="仿宋" w:cs="Times New Roman"/>
          <w:color w:val="000000" w:themeColor="text1"/>
          <w:sz w:val="32"/>
          <w:szCs w:val="32"/>
        </w:rPr>
        <w:t>市应急管理局负责审核参评企业</w:t>
      </w:r>
      <w:bookmarkStart w:id="0" w:name="OLE_LINK5"/>
      <w:r>
        <w:rPr>
          <w:rFonts w:ascii="Times New Roman" w:hAnsi="仿宋" w:eastAsia="仿宋" w:cs="Times New Roman"/>
          <w:color w:val="000000" w:themeColor="text1"/>
          <w:sz w:val="32"/>
          <w:szCs w:val="32"/>
        </w:rPr>
        <w:t>年度内是否发生致人死亡生产安全责任事故。市市场监管局负责反馈服务业企业登记注册情况，负责审核参评企业年度内是否发生食品、药品安全事故以及因产品抽检监督不合格被行政处罚等食品药品安全事项。</w:t>
      </w:r>
    </w:p>
    <w:bookmarkEnd w:id="0"/>
    <w:p>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color w:val="000000" w:themeColor="text1"/>
          <w:sz w:val="32"/>
          <w:szCs w:val="32"/>
          <w:shd w:val="clear" w:color="auto" w:fill="FFFFFF"/>
        </w:rPr>
      </w:pPr>
      <w:r>
        <w:rPr>
          <w:rFonts w:ascii="Times New Roman" w:hAnsi="黑体" w:eastAsia="黑体" w:cs="Times New Roman"/>
          <w:color w:val="000000" w:themeColor="text1"/>
          <w:sz w:val="32"/>
          <w:szCs w:val="32"/>
          <w:shd w:val="clear" w:color="auto" w:fill="FFFFFF"/>
        </w:rPr>
        <w:t>六、加强组织保障</w:t>
      </w:r>
    </w:p>
    <w:p>
      <w:pPr>
        <w:adjustRightInd w:val="0"/>
        <w:snapToGrid w:val="0"/>
        <w:spacing w:line="600" w:lineRule="exact"/>
        <w:ind w:firstLine="643" w:firstLineChars="200"/>
        <w:rPr>
          <w:rFonts w:ascii="Times New Roman" w:hAnsi="Times New Roman" w:eastAsia="仿宋" w:cs="Times New Roman"/>
          <w:color w:val="000000" w:themeColor="text1"/>
          <w:kern w:val="0"/>
          <w:sz w:val="32"/>
          <w:szCs w:val="32"/>
        </w:rPr>
      </w:pPr>
      <w:r>
        <w:rPr>
          <w:rFonts w:ascii="Times New Roman" w:hAnsi="楷体" w:eastAsia="楷体" w:cs="Times New Roman"/>
          <w:b/>
          <w:bCs/>
          <w:color w:val="000000" w:themeColor="text1"/>
          <w:sz w:val="32"/>
          <w:szCs w:val="32"/>
          <w:shd w:val="clear" w:color="auto" w:fill="FFFFFF"/>
        </w:rPr>
        <w:t>（一）加强统筹协调。</w:t>
      </w:r>
      <w:r>
        <w:rPr>
          <w:rFonts w:ascii="Times New Roman" w:hAnsi="仿宋" w:eastAsia="仿宋" w:cs="Times New Roman"/>
          <w:color w:val="000000" w:themeColor="text1"/>
          <w:kern w:val="0"/>
          <w:sz w:val="32"/>
          <w:szCs w:val="32"/>
        </w:rPr>
        <w:t>在市科技领导小组领导下，市科技局、市</w:t>
      </w:r>
      <w:r>
        <w:rPr>
          <w:rFonts w:ascii="Times New Roman" w:hAnsi="仿宋" w:eastAsia="仿宋" w:cs="Times New Roman"/>
          <w:color w:val="000000" w:themeColor="text1"/>
          <w:kern w:val="0"/>
          <w:sz w:val="32"/>
          <w:szCs w:val="32"/>
          <w:lang w:eastAsia="ar-SA"/>
        </w:rPr>
        <w:t>发展改革委</w:t>
      </w:r>
      <w:r>
        <w:rPr>
          <w:rFonts w:ascii="Times New Roman" w:hAnsi="仿宋" w:eastAsia="仿宋" w:cs="Times New Roman"/>
          <w:color w:val="000000" w:themeColor="text1"/>
          <w:kern w:val="0"/>
          <w:sz w:val="32"/>
          <w:szCs w:val="32"/>
        </w:rPr>
        <w:t>、市</w:t>
      </w:r>
      <w:r>
        <w:rPr>
          <w:rFonts w:ascii="Times New Roman" w:hAnsi="仿宋" w:eastAsia="仿宋" w:cs="Times New Roman"/>
          <w:color w:val="000000" w:themeColor="text1"/>
          <w:kern w:val="0"/>
          <w:sz w:val="32"/>
          <w:szCs w:val="32"/>
          <w:lang w:eastAsia="ar-SA"/>
        </w:rPr>
        <w:t>工业和信息化</w:t>
      </w:r>
      <w:r>
        <w:rPr>
          <w:rFonts w:ascii="Times New Roman" w:hAnsi="仿宋" w:eastAsia="仿宋" w:cs="Times New Roman"/>
          <w:color w:val="000000" w:themeColor="text1"/>
          <w:kern w:val="0"/>
          <w:sz w:val="32"/>
          <w:szCs w:val="32"/>
        </w:rPr>
        <w:t>局、市</w:t>
      </w:r>
      <w:r>
        <w:rPr>
          <w:rFonts w:ascii="Times New Roman" w:hAnsi="仿宋" w:eastAsia="仿宋" w:cs="Times New Roman"/>
          <w:color w:val="000000" w:themeColor="text1"/>
          <w:kern w:val="0"/>
          <w:sz w:val="32"/>
          <w:szCs w:val="32"/>
          <w:lang w:eastAsia="ar-SA"/>
        </w:rPr>
        <w:t>商务</w:t>
      </w:r>
      <w:r>
        <w:rPr>
          <w:rFonts w:ascii="Times New Roman" w:hAnsi="仿宋" w:eastAsia="仿宋" w:cs="Times New Roman"/>
          <w:color w:val="000000" w:themeColor="text1"/>
          <w:kern w:val="0"/>
          <w:sz w:val="32"/>
          <w:szCs w:val="32"/>
        </w:rPr>
        <w:t>局、市财政局（金融办）、市</w:t>
      </w:r>
      <w:r>
        <w:rPr>
          <w:rFonts w:ascii="Times New Roman" w:hAnsi="仿宋" w:eastAsia="仿宋" w:cs="Times New Roman"/>
          <w:color w:val="000000" w:themeColor="text1"/>
          <w:kern w:val="0"/>
          <w:sz w:val="32"/>
          <w:szCs w:val="32"/>
          <w:lang w:eastAsia="ar-SA"/>
        </w:rPr>
        <w:t>卫生健康委</w:t>
      </w:r>
      <w:r>
        <w:rPr>
          <w:rFonts w:ascii="Times New Roman" w:hAnsi="仿宋" w:eastAsia="仿宋" w:cs="Times New Roman"/>
          <w:color w:val="000000" w:themeColor="text1"/>
          <w:kern w:val="0"/>
          <w:sz w:val="32"/>
          <w:szCs w:val="32"/>
        </w:rPr>
        <w:t>、市住房城乡建设局、市教育局、市市场监管局、市统计局、市税务局等部门建立市高端科技服务业工作会议机制，各部门根据各自的职能，加强对高端科技服务业的工作指导、服务，共同支持和推进全市高端科技服务业发展。市科技局负责高端科技服务业目标任务统筹实施和协调督促；各县区开发区要结合实际制定推进计划，确保各项任务落到实处。</w:t>
      </w:r>
    </w:p>
    <w:p>
      <w:pPr>
        <w:adjustRightInd w:val="0"/>
        <w:snapToGrid w:val="0"/>
        <w:spacing w:line="600" w:lineRule="exact"/>
        <w:ind w:firstLine="643" w:firstLineChars="200"/>
        <w:rPr>
          <w:rFonts w:ascii="Times New Roman" w:hAnsi="Times New Roman" w:eastAsia="仿宋" w:cs="Times New Roman"/>
          <w:color w:val="000000" w:themeColor="text1"/>
          <w:kern w:val="0"/>
          <w:sz w:val="32"/>
          <w:szCs w:val="32"/>
        </w:rPr>
      </w:pPr>
      <w:r>
        <w:rPr>
          <w:rFonts w:ascii="Times New Roman" w:hAnsi="楷体" w:eastAsia="楷体" w:cs="Times New Roman"/>
          <w:b/>
          <w:bCs/>
          <w:color w:val="000000" w:themeColor="text1"/>
          <w:sz w:val="32"/>
          <w:szCs w:val="32"/>
          <w:shd w:val="clear" w:color="auto" w:fill="FFFFFF"/>
        </w:rPr>
        <w:t>（二）加大资金扶持。</w:t>
      </w:r>
      <w:r>
        <w:rPr>
          <w:rFonts w:ascii="Times New Roman" w:hAnsi="仿宋" w:eastAsia="仿宋" w:cs="Times New Roman"/>
          <w:color w:val="000000" w:themeColor="text1"/>
          <w:kern w:val="0"/>
          <w:sz w:val="32"/>
          <w:szCs w:val="32"/>
        </w:rPr>
        <w:t>每年市财政设置预算经费重点支持高端科技服务业发展。鼓励政府基金、银行等金融机构积极开发导入科技服务方面的金融产品，引导社会资本以跟进投资、阶段参股等形式投资。贯彻落实自治区市土地优惠政策，盘活低效用地、闲置房源，对符合标准的科技服务业企业优先安排用地。</w:t>
      </w:r>
      <w:r>
        <w:rPr>
          <w:rFonts w:ascii="Times New Roman" w:hAnsi="Times New Roman" w:eastAsia="仿宋" w:cs="Times New Roman"/>
          <w:color w:val="000000" w:themeColor="text1"/>
          <w:kern w:val="0"/>
          <w:sz w:val="32"/>
          <w:szCs w:val="32"/>
        </w:rPr>
        <w:t xml:space="preserve">  </w:t>
      </w:r>
    </w:p>
    <w:p>
      <w:pPr>
        <w:adjustRightInd w:val="0"/>
        <w:snapToGrid w:val="0"/>
        <w:spacing w:line="600" w:lineRule="exact"/>
        <w:ind w:firstLine="643" w:firstLineChars="200"/>
        <w:rPr>
          <w:rFonts w:ascii="Times New Roman" w:hAnsi="仿宋" w:eastAsia="仿宋" w:cs="Times New Roman"/>
          <w:color w:val="000000" w:themeColor="text1"/>
          <w:kern w:val="0"/>
          <w:sz w:val="32"/>
          <w:szCs w:val="32"/>
        </w:rPr>
      </w:pPr>
      <w:r>
        <w:rPr>
          <w:rFonts w:ascii="Times New Roman" w:hAnsi="楷体" w:eastAsia="楷体" w:cs="Times New Roman"/>
          <w:b/>
          <w:bCs/>
          <w:color w:val="000000" w:themeColor="text1"/>
          <w:sz w:val="32"/>
          <w:szCs w:val="32"/>
          <w:shd w:val="clear" w:color="auto" w:fill="FFFFFF"/>
        </w:rPr>
        <w:t>（三）加强统计监测。</w:t>
      </w:r>
      <w:r>
        <w:rPr>
          <w:rFonts w:ascii="Times New Roman" w:hAnsi="仿宋" w:eastAsia="仿宋" w:cs="Times New Roman"/>
          <w:color w:val="000000" w:themeColor="text1"/>
          <w:kern w:val="0"/>
          <w:sz w:val="32"/>
          <w:szCs w:val="32"/>
        </w:rPr>
        <w:t>建立健全市科技服务业统计指标体系和数据库，</w:t>
      </w:r>
      <w:r>
        <w:rPr>
          <w:rFonts w:ascii="Times New Roman" w:hAnsi="仿宋" w:eastAsia="仿宋" w:cs="Times New Roman"/>
          <w:color w:val="000000" w:themeColor="text1"/>
          <w:sz w:val="32"/>
          <w:szCs w:val="32"/>
        </w:rPr>
        <w:t>企业的统计数据均以报送国家统计局企业一套表数据为准。</w:t>
      </w:r>
      <w:r>
        <w:rPr>
          <w:rFonts w:ascii="Times New Roman" w:hAnsi="仿宋" w:eastAsia="仿宋" w:cs="Times New Roman"/>
          <w:color w:val="000000" w:themeColor="text1"/>
          <w:kern w:val="0"/>
          <w:sz w:val="32"/>
          <w:szCs w:val="32"/>
        </w:rPr>
        <w:t>对高端科技服务业数据做到</w:t>
      </w:r>
      <w:r>
        <w:rPr>
          <w:rFonts w:ascii="Times New Roman" w:hAnsi="Times New Roman" w:eastAsia="仿宋" w:cs="Times New Roman"/>
          <w:color w:val="000000" w:themeColor="text1"/>
          <w:kern w:val="0"/>
          <w:sz w:val="32"/>
          <w:szCs w:val="32"/>
        </w:rPr>
        <w:t>“</w:t>
      </w:r>
      <w:r>
        <w:rPr>
          <w:rFonts w:ascii="Times New Roman" w:hAnsi="仿宋" w:eastAsia="仿宋" w:cs="Times New Roman"/>
          <w:color w:val="000000" w:themeColor="text1"/>
          <w:kern w:val="0"/>
          <w:sz w:val="32"/>
          <w:szCs w:val="32"/>
        </w:rPr>
        <w:t>应统尽统</w:t>
      </w:r>
      <w:r>
        <w:rPr>
          <w:rFonts w:ascii="Times New Roman" w:hAnsi="Times New Roman" w:eastAsia="仿宋" w:cs="Times New Roman"/>
          <w:color w:val="000000" w:themeColor="text1"/>
          <w:kern w:val="0"/>
          <w:sz w:val="32"/>
          <w:szCs w:val="32"/>
        </w:rPr>
        <w:t>”</w:t>
      </w:r>
      <w:r>
        <w:rPr>
          <w:rFonts w:ascii="Times New Roman" w:hAnsi="仿宋" w:eastAsia="仿宋" w:cs="Times New Roman"/>
          <w:color w:val="000000" w:themeColor="text1"/>
          <w:kern w:val="0"/>
          <w:sz w:val="32"/>
          <w:szCs w:val="32"/>
        </w:rPr>
        <w:t>，开展统计指标分类统计与测算研究，为产业研究、政策制定和投资决策提供重要依据。</w:t>
      </w:r>
    </w:p>
    <w:p>
      <w:pPr>
        <w:adjustRightInd w:val="0"/>
        <w:snapToGrid w:val="0"/>
        <w:spacing w:line="600" w:lineRule="exact"/>
        <w:ind w:firstLine="640" w:firstLineChars="200"/>
        <w:rPr>
          <w:rFonts w:ascii="Times New Roman" w:hAnsi="仿宋" w:eastAsia="仿宋" w:cs="Times New Roman"/>
          <w:color w:val="000000" w:themeColor="text1"/>
          <w:kern w:val="0"/>
          <w:sz w:val="32"/>
          <w:szCs w:val="32"/>
        </w:rPr>
      </w:pPr>
    </w:p>
    <w:p>
      <w:pPr>
        <w:spacing w:line="560" w:lineRule="exact"/>
        <w:ind w:firstLine="640" w:firstLineChars="200"/>
        <w:rPr>
          <w:rFonts w:ascii="Times New Roman" w:hAnsi="Times New Roman" w:eastAsia="仿宋" w:cs="Times New Roman"/>
          <w:color w:val="000000" w:themeColor="text1"/>
          <w:kern w:val="0"/>
          <w:sz w:val="32"/>
          <w:szCs w:val="32"/>
        </w:rPr>
      </w:pPr>
    </w:p>
    <w:sectPr>
      <w:footerReference r:id="rId3" w:type="default"/>
      <w:pgSz w:w="11906" w:h="16838"/>
      <w:pgMar w:top="1531"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81C0E"/>
    <w:multiLevelType w:val="singleLevel"/>
    <w:tmpl w:val="FDE81C0E"/>
    <w:lvl w:ilvl="0" w:tentative="0">
      <w:start w:val="4"/>
      <w:numFmt w:val="decimal"/>
      <w:suff w:val="space"/>
      <w:lvlText w:val="%1."/>
      <w:lvlJc w:val="left"/>
    </w:lvl>
  </w:abstractNum>
  <w:abstractNum w:abstractNumId="1">
    <w:nsid w:val="3D5015DC"/>
    <w:multiLevelType w:val="singleLevel"/>
    <w:tmpl w:val="3D5015D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3MTE5MGUxMWY1OWI2Yjg4NzBiOWEwM2Q1NzcwNjIifQ=="/>
  </w:docVars>
  <w:rsids>
    <w:rsidRoot w:val="00516CDE"/>
    <w:rsid w:val="00011876"/>
    <w:rsid w:val="00014955"/>
    <w:rsid w:val="0001747E"/>
    <w:rsid w:val="00025615"/>
    <w:rsid w:val="0006558E"/>
    <w:rsid w:val="000712A7"/>
    <w:rsid w:val="00073871"/>
    <w:rsid w:val="00082CFA"/>
    <w:rsid w:val="00082D2D"/>
    <w:rsid w:val="000A36FA"/>
    <w:rsid w:val="000A7B74"/>
    <w:rsid w:val="000B0B32"/>
    <w:rsid w:val="000D41E2"/>
    <w:rsid w:val="000D7B1E"/>
    <w:rsid w:val="000F5C06"/>
    <w:rsid w:val="000F719D"/>
    <w:rsid w:val="00105517"/>
    <w:rsid w:val="00115609"/>
    <w:rsid w:val="00141180"/>
    <w:rsid w:val="001472FB"/>
    <w:rsid w:val="001568E6"/>
    <w:rsid w:val="00161AF8"/>
    <w:rsid w:val="00171E20"/>
    <w:rsid w:val="00176134"/>
    <w:rsid w:val="001B29B9"/>
    <w:rsid w:val="001B2C06"/>
    <w:rsid w:val="001B4883"/>
    <w:rsid w:val="001B7F8F"/>
    <w:rsid w:val="001D178E"/>
    <w:rsid w:val="001F41D5"/>
    <w:rsid w:val="002000BE"/>
    <w:rsid w:val="002131E5"/>
    <w:rsid w:val="00213F6C"/>
    <w:rsid w:val="002206CF"/>
    <w:rsid w:val="00236A66"/>
    <w:rsid w:val="00240106"/>
    <w:rsid w:val="00242176"/>
    <w:rsid w:val="00243DE2"/>
    <w:rsid w:val="00253C49"/>
    <w:rsid w:val="00257A20"/>
    <w:rsid w:val="002708FE"/>
    <w:rsid w:val="00272218"/>
    <w:rsid w:val="002742BF"/>
    <w:rsid w:val="00276741"/>
    <w:rsid w:val="0028133E"/>
    <w:rsid w:val="00283CC3"/>
    <w:rsid w:val="00283CD6"/>
    <w:rsid w:val="002915B1"/>
    <w:rsid w:val="00297C58"/>
    <w:rsid w:val="002A1DAF"/>
    <w:rsid w:val="002B3C0C"/>
    <w:rsid w:val="002C04EC"/>
    <w:rsid w:val="002C38F6"/>
    <w:rsid w:val="002D2A03"/>
    <w:rsid w:val="002D5B79"/>
    <w:rsid w:val="002E0869"/>
    <w:rsid w:val="002E19B9"/>
    <w:rsid w:val="002E54B3"/>
    <w:rsid w:val="002F0CFC"/>
    <w:rsid w:val="002F2A6C"/>
    <w:rsid w:val="002F6B9B"/>
    <w:rsid w:val="00303164"/>
    <w:rsid w:val="00312437"/>
    <w:rsid w:val="00320AF0"/>
    <w:rsid w:val="00324BE3"/>
    <w:rsid w:val="0033253D"/>
    <w:rsid w:val="00335360"/>
    <w:rsid w:val="003426A8"/>
    <w:rsid w:val="00343A61"/>
    <w:rsid w:val="0035578D"/>
    <w:rsid w:val="00355A3C"/>
    <w:rsid w:val="00357D21"/>
    <w:rsid w:val="00361746"/>
    <w:rsid w:val="003712CD"/>
    <w:rsid w:val="00385146"/>
    <w:rsid w:val="003928A2"/>
    <w:rsid w:val="0039599E"/>
    <w:rsid w:val="003B1120"/>
    <w:rsid w:val="003B421E"/>
    <w:rsid w:val="003B5D38"/>
    <w:rsid w:val="003C6340"/>
    <w:rsid w:val="003D311D"/>
    <w:rsid w:val="003D6C25"/>
    <w:rsid w:val="003E0691"/>
    <w:rsid w:val="003E08CF"/>
    <w:rsid w:val="003E098B"/>
    <w:rsid w:val="003E6577"/>
    <w:rsid w:val="003F5524"/>
    <w:rsid w:val="00403DD5"/>
    <w:rsid w:val="00407120"/>
    <w:rsid w:val="004120C3"/>
    <w:rsid w:val="00422F93"/>
    <w:rsid w:val="0043401C"/>
    <w:rsid w:val="00476E4B"/>
    <w:rsid w:val="00477C7B"/>
    <w:rsid w:val="00484ABF"/>
    <w:rsid w:val="00485173"/>
    <w:rsid w:val="00486919"/>
    <w:rsid w:val="00491566"/>
    <w:rsid w:val="004A2F06"/>
    <w:rsid w:val="004C1655"/>
    <w:rsid w:val="004C47CD"/>
    <w:rsid w:val="004C571C"/>
    <w:rsid w:val="004C6FAC"/>
    <w:rsid w:val="004D21FD"/>
    <w:rsid w:val="004D7E9D"/>
    <w:rsid w:val="004E23A5"/>
    <w:rsid w:val="004E4AB0"/>
    <w:rsid w:val="004E57B8"/>
    <w:rsid w:val="004E71E2"/>
    <w:rsid w:val="004F11C3"/>
    <w:rsid w:val="004F199E"/>
    <w:rsid w:val="004F6C50"/>
    <w:rsid w:val="00504753"/>
    <w:rsid w:val="00516CDE"/>
    <w:rsid w:val="00520B22"/>
    <w:rsid w:val="00522398"/>
    <w:rsid w:val="00524392"/>
    <w:rsid w:val="00535E39"/>
    <w:rsid w:val="005423AC"/>
    <w:rsid w:val="0055721A"/>
    <w:rsid w:val="0055769A"/>
    <w:rsid w:val="00565C3C"/>
    <w:rsid w:val="005670AF"/>
    <w:rsid w:val="005748A3"/>
    <w:rsid w:val="005772E8"/>
    <w:rsid w:val="00581AC8"/>
    <w:rsid w:val="0058645E"/>
    <w:rsid w:val="00586ACD"/>
    <w:rsid w:val="00590D9E"/>
    <w:rsid w:val="00596660"/>
    <w:rsid w:val="005A471D"/>
    <w:rsid w:val="005A60C7"/>
    <w:rsid w:val="005B2A4F"/>
    <w:rsid w:val="005B41E7"/>
    <w:rsid w:val="005B52E1"/>
    <w:rsid w:val="005D00E7"/>
    <w:rsid w:val="005E1B27"/>
    <w:rsid w:val="005E7AD2"/>
    <w:rsid w:val="005F0183"/>
    <w:rsid w:val="00622434"/>
    <w:rsid w:val="00622FCD"/>
    <w:rsid w:val="00626E74"/>
    <w:rsid w:val="006450E5"/>
    <w:rsid w:val="00647D6E"/>
    <w:rsid w:val="006509B7"/>
    <w:rsid w:val="006512D4"/>
    <w:rsid w:val="00654953"/>
    <w:rsid w:val="0065730E"/>
    <w:rsid w:val="0067550F"/>
    <w:rsid w:val="006807A5"/>
    <w:rsid w:val="006A7B12"/>
    <w:rsid w:val="006B2601"/>
    <w:rsid w:val="006B457F"/>
    <w:rsid w:val="006B73A0"/>
    <w:rsid w:val="006C3C4D"/>
    <w:rsid w:val="006C4675"/>
    <w:rsid w:val="006C4B66"/>
    <w:rsid w:val="006D23ED"/>
    <w:rsid w:val="006D36BA"/>
    <w:rsid w:val="006D7040"/>
    <w:rsid w:val="006E3B64"/>
    <w:rsid w:val="006E6330"/>
    <w:rsid w:val="007337BC"/>
    <w:rsid w:val="00744553"/>
    <w:rsid w:val="0074516B"/>
    <w:rsid w:val="00751841"/>
    <w:rsid w:val="007520CB"/>
    <w:rsid w:val="007627FF"/>
    <w:rsid w:val="00764445"/>
    <w:rsid w:val="00764D99"/>
    <w:rsid w:val="00765C27"/>
    <w:rsid w:val="0077261E"/>
    <w:rsid w:val="00773347"/>
    <w:rsid w:val="00782ACF"/>
    <w:rsid w:val="00785CEF"/>
    <w:rsid w:val="00790F62"/>
    <w:rsid w:val="00795C62"/>
    <w:rsid w:val="007A36EE"/>
    <w:rsid w:val="007A388A"/>
    <w:rsid w:val="007A578F"/>
    <w:rsid w:val="007C4000"/>
    <w:rsid w:val="007C5FF4"/>
    <w:rsid w:val="007D3314"/>
    <w:rsid w:val="007D3C1E"/>
    <w:rsid w:val="007D6DA6"/>
    <w:rsid w:val="007D6F9C"/>
    <w:rsid w:val="007E0F24"/>
    <w:rsid w:val="007E3F7E"/>
    <w:rsid w:val="007F2D07"/>
    <w:rsid w:val="007F5312"/>
    <w:rsid w:val="008041B2"/>
    <w:rsid w:val="008116A9"/>
    <w:rsid w:val="008255BA"/>
    <w:rsid w:val="00825FB0"/>
    <w:rsid w:val="0083138B"/>
    <w:rsid w:val="00833B64"/>
    <w:rsid w:val="00837188"/>
    <w:rsid w:val="00842C7C"/>
    <w:rsid w:val="00847F63"/>
    <w:rsid w:val="00855C45"/>
    <w:rsid w:val="0085666F"/>
    <w:rsid w:val="0086694E"/>
    <w:rsid w:val="008703FE"/>
    <w:rsid w:val="008704FC"/>
    <w:rsid w:val="00871B59"/>
    <w:rsid w:val="00875AD5"/>
    <w:rsid w:val="0089498C"/>
    <w:rsid w:val="00897EF2"/>
    <w:rsid w:val="008A75C6"/>
    <w:rsid w:val="008B15A8"/>
    <w:rsid w:val="008B6B51"/>
    <w:rsid w:val="008C2737"/>
    <w:rsid w:val="008C6532"/>
    <w:rsid w:val="008D5025"/>
    <w:rsid w:val="008F6E81"/>
    <w:rsid w:val="00910AF1"/>
    <w:rsid w:val="00916C7C"/>
    <w:rsid w:val="00917748"/>
    <w:rsid w:val="009223E4"/>
    <w:rsid w:val="00935B4C"/>
    <w:rsid w:val="009433C9"/>
    <w:rsid w:val="0094726A"/>
    <w:rsid w:val="009564E0"/>
    <w:rsid w:val="00972E81"/>
    <w:rsid w:val="00976802"/>
    <w:rsid w:val="009B7E36"/>
    <w:rsid w:val="009C0690"/>
    <w:rsid w:val="009E09F0"/>
    <w:rsid w:val="009E17BC"/>
    <w:rsid w:val="009E5D66"/>
    <w:rsid w:val="009F0706"/>
    <w:rsid w:val="00A13A82"/>
    <w:rsid w:val="00A15AA9"/>
    <w:rsid w:val="00A171FC"/>
    <w:rsid w:val="00A37928"/>
    <w:rsid w:val="00A56D7F"/>
    <w:rsid w:val="00A60DBE"/>
    <w:rsid w:val="00A81B37"/>
    <w:rsid w:val="00AA2223"/>
    <w:rsid w:val="00AA613E"/>
    <w:rsid w:val="00AA7158"/>
    <w:rsid w:val="00AB284E"/>
    <w:rsid w:val="00AB73FB"/>
    <w:rsid w:val="00AC1EC1"/>
    <w:rsid w:val="00AC3723"/>
    <w:rsid w:val="00AC5237"/>
    <w:rsid w:val="00AC5BF6"/>
    <w:rsid w:val="00AC6328"/>
    <w:rsid w:val="00AD426A"/>
    <w:rsid w:val="00AD5E1A"/>
    <w:rsid w:val="00AD72B2"/>
    <w:rsid w:val="00AE59F8"/>
    <w:rsid w:val="00AE5D5A"/>
    <w:rsid w:val="00AE64B5"/>
    <w:rsid w:val="00AF52D0"/>
    <w:rsid w:val="00AF55BC"/>
    <w:rsid w:val="00B03E1D"/>
    <w:rsid w:val="00B07834"/>
    <w:rsid w:val="00B167DE"/>
    <w:rsid w:val="00B27D89"/>
    <w:rsid w:val="00B34D40"/>
    <w:rsid w:val="00B63DB7"/>
    <w:rsid w:val="00B73024"/>
    <w:rsid w:val="00B7721F"/>
    <w:rsid w:val="00B83374"/>
    <w:rsid w:val="00B920B1"/>
    <w:rsid w:val="00B9367D"/>
    <w:rsid w:val="00B94C47"/>
    <w:rsid w:val="00BB0075"/>
    <w:rsid w:val="00BB1FB0"/>
    <w:rsid w:val="00BC028F"/>
    <w:rsid w:val="00BC1A99"/>
    <w:rsid w:val="00BD0ACA"/>
    <w:rsid w:val="00BD1835"/>
    <w:rsid w:val="00BD425E"/>
    <w:rsid w:val="00BF542C"/>
    <w:rsid w:val="00BF6988"/>
    <w:rsid w:val="00C073CB"/>
    <w:rsid w:val="00C21F59"/>
    <w:rsid w:val="00C22B33"/>
    <w:rsid w:val="00C273C1"/>
    <w:rsid w:val="00C27447"/>
    <w:rsid w:val="00C316E1"/>
    <w:rsid w:val="00C33179"/>
    <w:rsid w:val="00C34541"/>
    <w:rsid w:val="00C346CC"/>
    <w:rsid w:val="00C3653C"/>
    <w:rsid w:val="00C37E40"/>
    <w:rsid w:val="00C52676"/>
    <w:rsid w:val="00C53980"/>
    <w:rsid w:val="00C555D7"/>
    <w:rsid w:val="00C84752"/>
    <w:rsid w:val="00C93F7B"/>
    <w:rsid w:val="00C94437"/>
    <w:rsid w:val="00C97EAC"/>
    <w:rsid w:val="00CA05C8"/>
    <w:rsid w:val="00CB06A6"/>
    <w:rsid w:val="00CB2224"/>
    <w:rsid w:val="00CB7108"/>
    <w:rsid w:val="00CC11DC"/>
    <w:rsid w:val="00CC13AE"/>
    <w:rsid w:val="00CD07D9"/>
    <w:rsid w:val="00CD52E0"/>
    <w:rsid w:val="00CD5A06"/>
    <w:rsid w:val="00CE3851"/>
    <w:rsid w:val="00CF2EF3"/>
    <w:rsid w:val="00CF3CB5"/>
    <w:rsid w:val="00CF74C8"/>
    <w:rsid w:val="00D00042"/>
    <w:rsid w:val="00D01752"/>
    <w:rsid w:val="00D0626D"/>
    <w:rsid w:val="00D0787F"/>
    <w:rsid w:val="00D14888"/>
    <w:rsid w:val="00D152B7"/>
    <w:rsid w:val="00D15FF4"/>
    <w:rsid w:val="00D26F27"/>
    <w:rsid w:val="00D27166"/>
    <w:rsid w:val="00D541DB"/>
    <w:rsid w:val="00D60801"/>
    <w:rsid w:val="00D72B3D"/>
    <w:rsid w:val="00D76E92"/>
    <w:rsid w:val="00D86B15"/>
    <w:rsid w:val="00D87AA2"/>
    <w:rsid w:val="00D91A53"/>
    <w:rsid w:val="00D9271B"/>
    <w:rsid w:val="00DA726A"/>
    <w:rsid w:val="00DA7D70"/>
    <w:rsid w:val="00DB05D6"/>
    <w:rsid w:val="00DB5021"/>
    <w:rsid w:val="00DD0CF0"/>
    <w:rsid w:val="00DD4EE6"/>
    <w:rsid w:val="00DE0560"/>
    <w:rsid w:val="00DE32E4"/>
    <w:rsid w:val="00DE7046"/>
    <w:rsid w:val="00E060AE"/>
    <w:rsid w:val="00E13BA7"/>
    <w:rsid w:val="00E147FC"/>
    <w:rsid w:val="00E2076F"/>
    <w:rsid w:val="00E21CE9"/>
    <w:rsid w:val="00E31D32"/>
    <w:rsid w:val="00E3709F"/>
    <w:rsid w:val="00E5690C"/>
    <w:rsid w:val="00E60920"/>
    <w:rsid w:val="00E76B71"/>
    <w:rsid w:val="00E77559"/>
    <w:rsid w:val="00EB10B7"/>
    <w:rsid w:val="00EB657B"/>
    <w:rsid w:val="00EB68BD"/>
    <w:rsid w:val="00EB71FF"/>
    <w:rsid w:val="00EC75A5"/>
    <w:rsid w:val="00EE12E3"/>
    <w:rsid w:val="00EE152B"/>
    <w:rsid w:val="00EE487C"/>
    <w:rsid w:val="00EE7F42"/>
    <w:rsid w:val="00F1620C"/>
    <w:rsid w:val="00F20288"/>
    <w:rsid w:val="00F54F59"/>
    <w:rsid w:val="00F560E7"/>
    <w:rsid w:val="00F62E81"/>
    <w:rsid w:val="00F76DCB"/>
    <w:rsid w:val="00F830E8"/>
    <w:rsid w:val="00F902DD"/>
    <w:rsid w:val="00F924BD"/>
    <w:rsid w:val="00F94E46"/>
    <w:rsid w:val="00F953E3"/>
    <w:rsid w:val="00FA3093"/>
    <w:rsid w:val="00FA391B"/>
    <w:rsid w:val="00FB031E"/>
    <w:rsid w:val="00FB6325"/>
    <w:rsid w:val="00FC4DCA"/>
    <w:rsid w:val="00FC7279"/>
    <w:rsid w:val="00FD22FF"/>
    <w:rsid w:val="00FE3FA7"/>
    <w:rsid w:val="00FF1265"/>
    <w:rsid w:val="00FF6056"/>
    <w:rsid w:val="012878A5"/>
    <w:rsid w:val="01596D49"/>
    <w:rsid w:val="016C0F66"/>
    <w:rsid w:val="017F6EFD"/>
    <w:rsid w:val="01FB319A"/>
    <w:rsid w:val="022F7300"/>
    <w:rsid w:val="024273F9"/>
    <w:rsid w:val="02713594"/>
    <w:rsid w:val="02775336"/>
    <w:rsid w:val="027C096D"/>
    <w:rsid w:val="02AB4B48"/>
    <w:rsid w:val="02CA0945"/>
    <w:rsid w:val="02E36EF3"/>
    <w:rsid w:val="03607BD8"/>
    <w:rsid w:val="038E3D42"/>
    <w:rsid w:val="040C21F3"/>
    <w:rsid w:val="04811412"/>
    <w:rsid w:val="048B669B"/>
    <w:rsid w:val="04B054BF"/>
    <w:rsid w:val="04B34C25"/>
    <w:rsid w:val="04C129B9"/>
    <w:rsid w:val="05381442"/>
    <w:rsid w:val="06AE61BA"/>
    <w:rsid w:val="06CE7521"/>
    <w:rsid w:val="06E23103"/>
    <w:rsid w:val="0746764C"/>
    <w:rsid w:val="078C5FD1"/>
    <w:rsid w:val="07C87D53"/>
    <w:rsid w:val="07FB2502"/>
    <w:rsid w:val="080B2180"/>
    <w:rsid w:val="08176147"/>
    <w:rsid w:val="08562ECE"/>
    <w:rsid w:val="08B00469"/>
    <w:rsid w:val="09045419"/>
    <w:rsid w:val="092B650A"/>
    <w:rsid w:val="09B12A2C"/>
    <w:rsid w:val="09BC7C8E"/>
    <w:rsid w:val="09BD19B4"/>
    <w:rsid w:val="09CC0FB4"/>
    <w:rsid w:val="09D22813"/>
    <w:rsid w:val="0A355172"/>
    <w:rsid w:val="0A715857"/>
    <w:rsid w:val="0AC674A9"/>
    <w:rsid w:val="0AE01599"/>
    <w:rsid w:val="0AF66991"/>
    <w:rsid w:val="0B1F15BD"/>
    <w:rsid w:val="0B3802EF"/>
    <w:rsid w:val="0B424A7A"/>
    <w:rsid w:val="0B4B5940"/>
    <w:rsid w:val="0B5756D7"/>
    <w:rsid w:val="0B5B2EE9"/>
    <w:rsid w:val="0B683545"/>
    <w:rsid w:val="0BA47F98"/>
    <w:rsid w:val="0BBA3EE0"/>
    <w:rsid w:val="0BCC0597"/>
    <w:rsid w:val="0BFB7958"/>
    <w:rsid w:val="0C3C683A"/>
    <w:rsid w:val="0CB4536F"/>
    <w:rsid w:val="0CD427FB"/>
    <w:rsid w:val="0CD52AC4"/>
    <w:rsid w:val="0CE92AEA"/>
    <w:rsid w:val="0D0122BD"/>
    <w:rsid w:val="0D066DB7"/>
    <w:rsid w:val="0D5D718F"/>
    <w:rsid w:val="0D9C184D"/>
    <w:rsid w:val="0DF61E4D"/>
    <w:rsid w:val="0DFB6D84"/>
    <w:rsid w:val="0E052570"/>
    <w:rsid w:val="0E2A5DBB"/>
    <w:rsid w:val="0E3C2431"/>
    <w:rsid w:val="0EA65989"/>
    <w:rsid w:val="0EAF5E5E"/>
    <w:rsid w:val="0EC07CF3"/>
    <w:rsid w:val="0F6C0E34"/>
    <w:rsid w:val="0F8F4EC7"/>
    <w:rsid w:val="0FF32166"/>
    <w:rsid w:val="1004203D"/>
    <w:rsid w:val="102C79BD"/>
    <w:rsid w:val="104B560F"/>
    <w:rsid w:val="10752C8C"/>
    <w:rsid w:val="10F7722A"/>
    <w:rsid w:val="10FD7FE9"/>
    <w:rsid w:val="116B1BA8"/>
    <w:rsid w:val="1176229D"/>
    <w:rsid w:val="1186209C"/>
    <w:rsid w:val="11F54E01"/>
    <w:rsid w:val="12402411"/>
    <w:rsid w:val="125D5791"/>
    <w:rsid w:val="12916E37"/>
    <w:rsid w:val="12A8492E"/>
    <w:rsid w:val="12B174DC"/>
    <w:rsid w:val="130705EF"/>
    <w:rsid w:val="132853E2"/>
    <w:rsid w:val="139C7FF7"/>
    <w:rsid w:val="13A47A99"/>
    <w:rsid w:val="13B47723"/>
    <w:rsid w:val="13B8714C"/>
    <w:rsid w:val="13C963CA"/>
    <w:rsid w:val="13D20D54"/>
    <w:rsid w:val="140F1EF1"/>
    <w:rsid w:val="140F746C"/>
    <w:rsid w:val="141125FB"/>
    <w:rsid w:val="14321DC4"/>
    <w:rsid w:val="144A406C"/>
    <w:rsid w:val="14791098"/>
    <w:rsid w:val="14EF29F6"/>
    <w:rsid w:val="15046003"/>
    <w:rsid w:val="150D5D20"/>
    <w:rsid w:val="155A3AD0"/>
    <w:rsid w:val="156B5190"/>
    <w:rsid w:val="15A928A5"/>
    <w:rsid w:val="15C41D03"/>
    <w:rsid w:val="15F5225A"/>
    <w:rsid w:val="163925C2"/>
    <w:rsid w:val="165A102B"/>
    <w:rsid w:val="16C8764B"/>
    <w:rsid w:val="16CC3EFF"/>
    <w:rsid w:val="16D44782"/>
    <w:rsid w:val="170C7477"/>
    <w:rsid w:val="17274D9A"/>
    <w:rsid w:val="17366739"/>
    <w:rsid w:val="174F5174"/>
    <w:rsid w:val="1763616C"/>
    <w:rsid w:val="17E460FD"/>
    <w:rsid w:val="17E75B29"/>
    <w:rsid w:val="18013EE6"/>
    <w:rsid w:val="183433A6"/>
    <w:rsid w:val="18837416"/>
    <w:rsid w:val="18B5667E"/>
    <w:rsid w:val="18BC1E76"/>
    <w:rsid w:val="18D06378"/>
    <w:rsid w:val="19104356"/>
    <w:rsid w:val="193D2F84"/>
    <w:rsid w:val="19467907"/>
    <w:rsid w:val="195613A8"/>
    <w:rsid w:val="1979113F"/>
    <w:rsid w:val="198732EE"/>
    <w:rsid w:val="19926F9F"/>
    <w:rsid w:val="19A944A6"/>
    <w:rsid w:val="19D2320F"/>
    <w:rsid w:val="19E75995"/>
    <w:rsid w:val="19F02B6A"/>
    <w:rsid w:val="1A0528C2"/>
    <w:rsid w:val="1A082C4B"/>
    <w:rsid w:val="1A1107EB"/>
    <w:rsid w:val="1A1548A9"/>
    <w:rsid w:val="1A6B4D04"/>
    <w:rsid w:val="1AA75413"/>
    <w:rsid w:val="1AB11004"/>
    <w:rsid w:val="1AF91A26"/>
    <w:rsid w:val="1B210178"/>
    <w:rsid w:val="1BB4607F"/>
    <w:rsid w:val="1BC5129F"/>
    <w:rsid w:val="1BDA2199"/>
    <w:rsid w:val="1BF02123"/>
    <w:rsid w:val="1BF7551B"/>
    <w:rsid w:val="1C170388"/>
    <w:rsid w:val="1C404C9E"/>
    <w:rsid w:val="1C531C7A"/>
    <w:rsid w:val="1C640B6A"/>
    <w:rsid w:val="1C8D4D35"/>
    <w:rsid w:val="1CCF6F01"/>
    <w:rsid w:val="1D587E04"/>
    <w:rsid w:val="1D8A3474"/>
    <w:rsid w:val="1D9B4FB1"/>
    <w:rsid w:val="1DB123B1"/>
    <w:rsid w:val="1DB6225C"/>
    <w:rsid w:val="1DD165A0"/>
    <w:rsid w:val="1DEA2403"/>
    <w:rsid w:val="1DF24C52"/>
    <w:rsid w:val="1DF900AC"/>
    <w:rsid w:val="1DFF734E"/>
    <w:rsid w:val="1E4D5204"/>
    <w:rsid w:val="1E907E05"/>
    <w:rsid w:val="1E9F3F55"/>
    <w:rsid w:val="1EB91FEE"/>
    <w:rsid w:val="1ED61D6B"/>
    <w:rsid w:val="1EFB31B9"/>
    <w:rsid w:val="1F011301"/>
    <w:rsid w:val="1F0729F7"/>
    <w:rsid w:val="1F132492"/>
    <w:rsid w:val="1F351E4B"/>
    <w:rsid w:val="1F832851"/>
    <w:rsid w:val="1FE61E03"/>
    <w:rsid w:val="1FF74ECA"/>
    <w:rsid w:val="200C2352"/>
    <w:rsid w:val="2025076B"/>
    <w:rsid w:val="202D235D"/>
    <w:rsid w:val="20AE7B2F"/>
    <w:rsid w:val="20DE3302"/>
    <w:rsid w:val="20E27BFB"/>
    <w:rsid w:val="20E47600"/>
    <w:rsid w:val="20FE79B7"/>
    <w:rsid w:val="2103337C"/>
    <w:rsid w:val="2104515E"/>
    <w:rsid w:val="211C2A44"/>
    <w:rsid w:val="212C618F"/>
    <w:rsid w:val="21326B30"/>
    <w:rsid w:val="21753969"/>
    <w:rsid w:val="21901D2D"/>
    <w:rsid w:val="22370301"/>
    <w:rsid w:val="22571A6F"/>
    <w:rsid w:val="22597F33"/>
    <w:rsid w:val="2261167F"/>
    <w:rsid w:val="226A58B9"/>
    <w:rsid w:val="227668D1"/>
    <w:rsid w:val="22A91027"/>
    <w:rsid w:val="22F151A8"/>
    <w:rsid w:val="230815B5"/>
    <w:rsid w:val="232E656E"/>
    <w:rsid w:val="23465042"/>
    <w:rsid w:val="23470A41"/>
    <w:rsid w:val="23F44C33"/>
    <w:rsid w:val="23F93165"/>
    <w:rsid w:val="23FD64E6"/>
    <w:rsid w:val="24252F1B"/>
    <w:rsid w:val="2427210D"/>
    <w:rsid w:val="24BA5F46"/>
    <w:rsid w:val="24BC413B"/>
    <w:rsid w:val="24E35976"/>
    <w:rsid w:val="24F60049"/>
    <w:rsid w:val="25304990"/>
    <w:rsid w:val="25324B14"/>
    <w:rsid w:val="257F4A64"/>
    <w:rsid w:val="25A27F66"/>
    <w:rsid w:val="25A86A53"/>
    <w:rsid w:val="26234C1E"/>
    <w:rsid w:val="26506C86"/>
    <w:rsid w:val="278468FC"/>
    <w:rsid w:val="27AB70B1"/>
    <w:rsid w:val="27D67198"/>
    <w:rsid w:val="27E76DE9"/>
    <w:rsid w:val="27F13A11"/>
    <w:rsid w:val="280D0BC0"/>
    <w:rsid w:val="281C3E16"/>
    <w:rsid w:val="28991FA9"/>
    <w:rsid w:val="28B80A37"/>
    <w:rsid w:val="28F83A58"/>
    <w:rsid w:val="29146C89"/>
    <w:rsid w:val="294E532B"/>
    <w:rsid w:val="296B65BA"/>
    <w:rsid w:val="299A61D6"/>
    <w:rsid w:val="29E109E9"/>
    <w:rsid w:val="29E7216A"/>
    <w:rsid w:val="29ED7E16"/>
    <w:rsid w:val="2A2D0737"/>
    <w:rsid w:val="2A2D5AD2"/>
    <w:rsid w:val="2A41461D"/>
    <w:rsid w:val="2A57724F"/>
    <w:rsid w:val="2A6C6A0D"/>
    <w:rsid w:val="2B0D5293"/>
    <w:rsid w:val="2B9768EF"/>
    <w:rsid w:val="2B9F29B7"/>
    <w:rsid w:val="2BF10ABB"/>
    <w:rsid w:val="2BF14FCF"/>
    <w:rsid w:val="2C4B0997"/>
    <w:rsid w:val="2C4D785B"/>
    <w:rsid w:val="2C726C89"/>
    <w:rsid w:val="2C81253C"/>
    <w:rsid w:val="2C9E1C8B"/>
    <w:rsid w:val="2CB703FB"/>
    <w:rsid w:val="2CD3116F"/>
    <w:rsid w:val="2CD332A0"/>
    <w:rsid w:val="2CDA0926"/>
    <w:rsid w:val="2CFD66FE"/>
    <w:rsid w:val="2D243F47"/>
    <w:rsid w:val="2D481A86"/>
    <w:rsid w:val="2D8B5F46"/>
    <w:rsid w:val="2DE2354B"/>
    <w:rsid w:val="2E204FB4"/>
    <w:rsid w:val="2E2C482E"/>
    <w:rsid w:val="2E2D40E0"/>
    <w:rsid w:val="2E7975EC"/>
    <w:rsid w:val="2EAC0477"/>
    <w:rsid w:val="2EB26FA6"/>
    <w:rsid w:val="2EC4253D"/>
    <w:rsid w:val="2EEB199D"/>
    <w:rsid w:val="2F1943E9"/>
    <w:rsid w:val="2F1A1187"/>
    <w:rsid w:val="2F53235E"/>
    <w:rsid w:val="2FE96990"/>
    <w:rsid w:val="30137762"/>
    <w:rsid w:val="30197774"/>
    <w:rsid w:val="30293741"/>
    <w:rsid w:val="30565976"/>
    <w:rsid w:val="30BE2D40"/>
    <w:rsid w:val="30CB03F9"/>
    <w:rsid w:val="30D0040C"/>
    <w:rsid w:val="30DA17E0"/>
    <w:rsid w:val="31034D4D"/>
    <w:rsid w:val="31036DD6"/>
    <w:rsid w:val="312B1A58"/>
    <w:rsid w:val="31422D66"/>
    <w:rsid w:val="31423E50"/>
    <w:rsid w:val="315B2946"/>
    <w:rsid w:val="315E2822"/>
    <w:rsid w:val="31C159EC"/>
    <w:rsid w:val="31C372F0"/>
    <w:rsid w:val="32726E87"/>
    <w:rsid w:val="32D10E51"/>
    <w:rsid w:val="32D94677"/>
    <w:rsid w:val="330E15F1"/>
    <w:rsid w:val="33150523"/>
    <w:rsid w:val="331C1999"/>
    <w:rsid w:val="342D776D"/>
    <w:rsid w:val="342F03E7"/>
    <w:rsid w:val="34B30983"/>
    <w:rsid w:val="34BC49EA"/>
    <w:rsid w:val="351A3866"/>
    <w:rsid w:val="3541592C"/>
    <w:rsid w:val="355A3779"/>
    <w:rsid w:val="3597188F"/>
    <w:rsid w:val="360D4B14"/>
    <w:rsid w:val="3627062A"/>
    <w:rsid w:val="36393766"/>
    <w:rsid w:val="36446D31"/>
    <w:rsid w:val="36D20460"/>
    <w:rsid w:val="374B6CAA"/>
    <w:rsid w:val="376E428D"/>
    <w:rsid w:val="378A472C"/>
    <w:rsid w:val="37D13258"/>
    <w:rsid w:val="380855EE"/>
    <w:rsid w:val="38154E2D"/>
    <w:rsid w:val="387764C8"/>
    <w:rsid w:val="389122BA"/>
    <w:rsid w:val="38A4665A"/>
    <w:rsid w:val="38B40732"/>
    <w:rsid w:val="38BF0F58"/>
    <w:rsid w:val="38DF16D6"/>
    <w:rsid w:val="38EA434E"/>
    <w:rsid w:val="397C71C9"/>
    <w:rsid w:val="39BC50B1"/>
    <w:rsid w:val="3A30369F"/>
    <w:rsid w:val="3A593C09"/>
    <w:rsid w:val="3A654D00"/>
    <w:rsid w:val="3A694F16"/>
    <w:rsid w:val="3A901126"/>
    <w:rsid w:val="3AA906AF"/>
    <w:rsid w:val="3B0C5F6F"/>
    <w:rsid w:val="3B293ED8"/>
    <w:rsid w:val="3B2C004D"/>
    <w:rsid w:val="3B4058A1"/>
    <w:rsid w:val="3B482A33"/>
    <w:rsid w:val="3B635FE1"/>
    <w:rsid w:val="3B6B373C"/>
    <w:rsid w:val="3BDD157A"/>
    <w:rsid w:val="3C031D6F"/>
    <w:rsid w:val="3C052632"/>
    <w:rsid w:val="3C1B6BD1"/>
    <w:rsid w:val="3C404414"/>
    <w:rsid w:val="3C580578"/>
    <w:rsid w:val="3C6774EE"/>
    <w:rsid w:val="3C6D27FC"/>
    <w:rsid w:val="3C91702B"/>
    <w:rsid w:val="3CCB69C8"/>
    <w:rsid w:val="3CD4766B"/>
    <w:rsid w:val="3D8A0CFC"/>
    <w:rsid w:val="3D9E1BDD"/>
    <w:rsid w:val="3DA95289"/>
    <w:rsid w:val="3E143A60"/>
    <w:rsid w:val="3E360206"/>
    <w:rsid w:val="3E5E7236"/>
    <w:rsid w:val="3E6202BF"/>
    <w:rsid w:val="3E8842C3"/>
    <w:rsid w:val="3E9537EA"/>
    <w:rsid w:val="3E9561AC"/>
    <w:rsid w:val="3E9F4028"/>
    <w:rsid w:val="3EA33827"/>
    <w:rsid w:val="3EC033C3"/>
    <w:rsid w:val="3ED2422C"/>
    <w:rsid w:val="3EE36B71"/>
    <w:rsid w:val="3F2D119A"/>
    <w:rsid w:val="3F505171"/>
    <w:rsid w:val="3F6B3634"/>
    <w:rsid w:val="3F740DFA"/>
    <w:rsid w:val="3F8F1E61"/>
    <w:rsid w:val="3FBE55B9"/>
    <w:rsid w:val="3FEA2BB8"/>
    <w:rsid w:val="40323B0D"/>
    <w:rsid w:val="40512A0A"/>
    <w:rsid w:val="407C5041"/>
    <w:rsid w:val="409006B9"/>
    <w:rsid w:val="4098178F"/>
    <w:rsid w:val="40B74EB7"/>
    <w:rsid w:val="40D15875"/>
    <w:rsid w:val="40E121A5"/>
    <w:rsid w:val="40F47102"/>
    <w:rsid w:val="4124687D"/>
    <w:rsid w:val="41430360"/>
    <w:rsid w:val="416B5228"/>
    <w:rsid w:val="4190201F"/>
    <w:rsid w:val="41AA2A27"/>
    <w:rsid w:val="41B737E2"/>
    <w:rsid w:val="42106B41"/>
    <w:rsid w:val="421E1054"/>
    <w:rsid w:val="42536A26"/>
    <w:rsid w:val="42817B51"/>
    <w:rsid w:val="429A1968"/>
    <w:rsid w:val="42B876A8"/>
    <w:rsid w:val="42E44EAC"/>
    <w:rsid w:val="42E66D8B"/>
    <w:rsid w:val="431A3E1D"/>
    <w:rsid w:val="432D3C64"/>
    <w:rsid w:val="434F063F"/>
    <w:rsid w:val="43843BF0"/>
    <w:rsid w:val="43B42C19"/>
    <w:rsid w:val="43F22D1A"/>
    <w:rsid w:val="44241F40"/>
    <w:rsid w:val="449612D5"/>
    <w:rsid w:val="44B04442"/>
    <w:rsid w:val="44C16510"/>
    <w:rsid w:val="44DA28FF"/>
    <w:rsid w:val="44E944CD"/>
    <w:rsid w:val="44EE40A8"/>
    <w:rsid w:val="451450E6"/>
    <w:rsid w:val="45696AFF"/>
    <w:rsid w:val="456C0639"/>
    <w:rsid w:val="45B71958"/>
    <w:rsid w:val="45C70357"/>
    <w:rsid w:val="46083DD0"/>
    <w:rsid w:val="46180B1C"/>
    <w:rsid w:val="46216AA7"/>
    <w:rsid w:val="465B7C8E"/>
    <w:rsid w:val="46814772"/>
    <w:rsid w:val="47377870"/>
    <w:rsid w:val="474F7DE4"/>
    <w:rsid w:val="47761298"/>
    <w:rsid w:val="478C6A71"/>
    <w:rsid w:val="47D63379"/>
    <w:rsid w:val="481228F4"/>
    <w:rsid w:val="48174A32"/>
    <w:rsid w:val="48841C68"/>
    <w:rsid w:val="48D32B9D"/>
    <w:rsid w:val="490C229F"/>
    <w:rsid w:val="494848BF"/>
    <w:rsid w:val="49837C4A"/>
    <w:rsid w:val="49850E2C"/>
    <w:rsid w:val="49892CEC"/>
    <w:rsid w:val="49AB2E2F"/>
    <w:rsid w:val="49AE4CE1"/>
    <w:rsid w:val="49D92AEE"/>
    <w:rsid w:val="49DF4ED9"/>
    <w:rsid w:val="4A30238D"/>
    <w:rsid w:val="4A48736F"/>
    <w:rsid w:val="4A5A1301"/>
    <w:rsid w:val="4AAB3F06"/>
    <w:rsid w:val="4AC14B96"/>
    <w:rsid w:val="4AC348FB"/>
    <w:rsid w:val="4AF32D71"/>
    <w:rsid w:val="4AF76EC8"/>
    <w:rsid w:val="4B364A89"/>
    <w:rsid w:val="4B3F56C2"/>
    <w:rsid w:val="4B6A504C"/>
    <w:rsid w:val="4BA76B37"/>
    <w:rsid w:val="4BA859F0"/>
    <w:rsid w:val="4C0C72AA"/>
    <w:rsid w:val="4C1F0084"/>
    <w:rsid w:val="4C2C0F6D"/>
    <w:rsid w:val="4C7855CF"/>
    <w:rsid w:val="4CDF1858"/>
    <w:rsid w:val="4CE23B30"/>
    <w:rsid w:val="4D175C05"/>
    <w:rsid w:val="4D346041"/>
    <w:rsid w:val="4DA04DC1"/>
    <w:rsid w:val="4DC55FC5"/>
    <w:rsid w:val="4DCA7A93"/>
    <w:rsid w:val="4E1F40AF"/>
    <w:rsid w:val="4EFA792D"/>
    <w:rsid w:val="4F1509B5"/>
    <w:rsid w:val="4F373E71"/>
    <w:rsid w:val="4F59279F"/>
    <w:rsid w:val="4F687FFA"/>
    <w:rsid w:val="4F824F02"/>
    <w:rsid w:val="4FBD066D"/>
    <w:rsid w:val="4FC9723F"/>
    <w:rsid w:val="500F1D33"/>
    <w:rsid w:val="50120BD9"/>
    <w:rsid w:val="50320277"/>
    <w:rsid w:val="504E2688"/>
    <w:rsid w:val="505F5B5F"/>
    <w:rsid w:val="50724A65"/>
    <w:rsid w:val="50802AAC"/>
    <w:rsid w:val="509B0C36"/>
    <w:rsid w:val="50BA3B05"/>
    <w:rsid w:val="50E1180B"/>
    <w:rsid w:val="50E47527"/>
    <w:rsid w:val="510C4114"/>
    <w:rsid w:val="51141E31"/>
    <w:rsid w:val="511F16BC"/>
    <w:rsid w:val="514A0F24"/>
    <w:rsid w:val="51CE0D45"/>
    <w:rsid w:val="51F46846"/>
    <w:rsid w:val="51F834BE"/>
    <w:rsid w:val="51FE3279"/>
    <w:rsid w:val="52101527"/>
    <w:rsid w:val="52265AF2"/>
    <w:rsid w:val="522A25D9"/>
    <w:rsid w:val="52680EBD"/>
    <w:rsid w:val="526A4586"/>
    <w:rsid w:val="52700929"/>
    <w:rsid w:val="527D5738"/>
    <w:rsid w:val="52885425"/>
    <w:rsid w:val="52A43427"/>
    <w:rsid w:val="52B10E56"/>
    <w:rsid w:val="52B11DAF"/>
    <w:rsid w:val="52C66631"/>
    <w:rsid w:val="52F757D2"/>
    <w:rsid w:val="52FA5E8C"/>
    <w:rsid w:val="52FD29D0"/>
    <w:rsid w:val="53087CED"/>
    <w:rsid w:val="532067D0"/>
    <w:rsid w:val="538346D7"/>
    <w:rsid w:val="53CA52A4"/>
    <w:rsid w:val="53E45D08"/>
    <w:rsid w:val="54302126"/>
    <w:rsid w:val="5459597F"/>
    <w:rsid w:val="547003E4"/>
    <w:rsid w:val="549C6FEA"/>
    <w:rsid w:val="54CA11F6"/>
    <w:rsid w:val="54DD30C3"/>
    <w:rsid w:val="55111A86"/>
    <w:rsid w:val="55542BA1"/>
    <w:rsid w:val="555F6236"/>
    <w:rsid w:val="55646453"/>
    <w:rsid w:val="558211ED"/>
    <w:rsid w:val="55821912"/>
    <w:rsid w:val="558F2611"/>
    <w:rsid w:val="55B01769"/>
    <w:rsid w:val="55CB5289"/>
    <w:rsid w:val="55E414AF"/>
    <w:rsid w:val="56156F45"/>
    <w:rsid w:val="563F3CE0"/>
    <w:rsid w:val="568C1F2F"/>
    <w:rsid w:val="56A15C62"/>
    <w:rsid w:val="56C40C3F"/>
    <w:rsid w:val="56EE132D"/>
    <w:rsid w:val="5728256A"/>
    <w:rsid w:val="57557E39"/>
    <w:rsid w:val="57701E62"/>
    <w:rsid w:val="578F2FA5"/>
    <w:rsid w:val="58C04E1A"/>
    <w:rsid w:val="58D45F36"/>
    <w:rsid w:val="58DC5B2D"/>
    <w:rsid w:val="58F45433"/>
    <w:rsid w:val="59593BE7"/>
    <w:rsid w:val="59B85945"/>
    <w:rsid w:val="59BA2E72"/>
    <w:rsid w:val="59F004D7"/>
    <w:rsid w:val="59F357C5"/>
    <w:rsid w:val="5A021B1E"/>
    <w:rsid w:val="5A0643C5"/>
    <w:rsid w:val="5A4B56CE"/>
    <w:rsid w:val="5A54664A"/>
    <w:rsid w:val="5AE81EFB"/>
    <w:rsid w:val="5AFE01AA"/>
    <w:rsid w:val="5B135A1D"/>
    <w:rsid w:val="5B216996"/>
    <w:rsid w:val="5B4F38D3"/>
    <w:rsid w:val="5B896FFB"/>
    <w:rsid w:val="5B8B119E"/>
    <w:rsid w:val="5B9C2764"/>
    <w:rsid w:val="5BB002EB"/>
    <w:rsid w:val="5BB2493D"/>
    <w:rsid w:val="5BB34BF0"/>
    <w:rsid w:val="5BB359F0"/>
    <w:rsid w:val="5BC76698"/>
    <w:rsid w:val="5BD01967"/>
    <w:rsid w:val="5BEE26A8"/>
    <w:rsid w:val="5BF94DBA"/>
    <w:rsid w:val="5C1F4657"/>
    <w:rsid w:val="5C4019E9"/>
    <w:rsid w:val="5C8720C3"/>
    <w:rsid w:val="5CAA4300"/>
    <w:rsid w:val="5CB03215"/>
    <w:rsid w:val="5CBD2DC8"/>
    <w:rsid w:val="5CC524BF"/>
    <w:rsid w:val="5CF05EEA"/>
    <w:rsid w:val="5CF65627"/>
    <w:rsid w:val="5D0979EF"/>
    <w:rsid w:val="5D361811"/>
    <w:rsid w:val="5D7547C3"/>
    <w:rsid w:val="5D8A2CED"/>
    <w:rsid w:val="5DCA3D6E"/>
    <w:rsid w:val="5E0038DB"/>
    <w:rsid w:val="5E1B499C"/>
    <w:rsid w:val="5E484889"/>
    <w:rsid w:val="5E4F46C7"/>
    <w:rsid w:val="5E713E00"/>
    <w:rsid w:val="5E740381"/>
    <w:rsid w:val="5E992FF6"/>
    <w:rsid w:val="5EA44E3B"/>
    <w:rsid w:val="5EBD6782"/>
    <w:rsid w:val="5EC35A71"/>
    <w:rsid w:val="5EC62B2E"/>
    <w:rsid w:val="5F0D6A36"/>
    <w:rsid w:val="5F142FB3"/>
    <w:rsid w:val="5FBA3F17"/>
    <w:rsid w:val="5FD724C0"/>
    <w:rsid w:val="5FD727F9"/>
    <w:rsid w:val="5FF93796"/>
    <w:rsid w:val="602024B4"/>
    <w:rsid w:val="60226320"/>
    <w:rsid w:val="60245641"/>
    <w:rsid w:val="604A4FAE"/>
    <w:rsid w:val="605462D4"/>
    <w:rsid w:val="605E4F64"/>
    <w:rsid w:val="611828A8"/>
    <w:rsid w:val="613D066C"/>
    <w:rsid w:val="615460B7"/>
    <w:rsid w:val="61870563"/>
    <w:rsid w:val="61927BE1"/>
    <w:rsid w:val="61A6370E"/>
    <w:rsid w:val="61A76C0D"/>
    <w:rsid w:val="61AD7659"/>
    <w:rsid w:val="61EA5CFA"/>
    <w:rsid w:val="62241365"/>
    <w:rsid w:val="623243BD"/>
    <w:rsid w:val="62806870"/>
    <w:rsid w:val="62A2743E"/>
    <w:rsid w:val="63274C2B"/>
    <w:rsid w:val="6376415E"/>
    <w:rsid w:val="637B0F9A"/>
    <w:rsid w:val="639A7AED"/>
    <w:rsid w:val="64001A9D"/>
    <w:rsid w:val="643310A3"/>
    <w:rsid w:val="643D65D1"/>
    <w:rsid w:val="64550988"/>
    <w:rsid w:val="64984C72"/>
    <w:rsid w:val="64B65672"/>
    <w:rsid w:val="64BF05E0"/>
    <w:rsid w:val="64C70460"/>
    <w:rsid w:val="64EC4A3F"/>
    <w:rsid w:val="64ED3240"/>
    <w:rsid w:val="65163191"/>
    <w:rsid w:val="65863E93"/>
    <w:rsid w:val="65F51BAF"/>
    <w:rsid w:val="66327AAD"/>
    <w:rsid w:val="663C410E"/>
    <w:rsid w:val="6654093C"/>
    <w:rsid w:val="66585571"/>
    <w:rsid w:val="669E52EB"/>
    <w:rsid w:val="66A30FEF"/>
    <w:rsid w:val="66A41AF0"/>
    <w:rsid w:val="66AD5FE1"/>
    <w:rsid w:val="66D03E1C"/>
    <w:rsid w:val="66E07E82"/>
    <w:rsid w:val="66F94CCB"/>
    <w:rsid w:val="673A6FB9"/>
    <w:rsid w:val="6760377D"/>
    <w:rsid w:val="68000647"/>
    <w:rsid w:val="68270BAA"/>
    <w:rsid w:val="684D25EB"/>
    <w:rsid w:val="6894316B"/>
    <w:rsid w:val="68A27AA7"/>
    <w:rsid w:val="68AC3E1B"/>
    <w:rsid w:val="68B57CDB"/>
    <w:rsid w:val="68D54166"/>
    <w:rsid w:val="68D70977"/>
    <w:rsid w:val="68D963E9"/>
    <w:rsid w:val="69074052"/>
    <w:rsid w:val="693D4FE1"/>
    <w:rsid w:val="694F6F07"/>
    <w:rsid w:val="695258D9"/>
    <w:rsid w:val="695B7C39"/>
    <w:rsid w:val="69E117F1"/>
    <w:rsid w:val="69E91C39"/>
    <w:rsid w:val="6A1F3B74"/>
    <w:rsid w:val="6A232B82"/>
    <w:rsid w:val="6A3028F6"/>
    <w:rsid w:val="6A430693"/>
    <w:rsid w:val="6A5119DC"/>
    <w:rsid w:val="6A786567"/>
    <w:rsid w:val="6AA6766E"/>
    <w:rsid w:val="6ACB7F0C"/>
    <w:rsid w:val="6ACE5590"/>
    <w:rsid w:val="6AD905F4"/>
    <w:rsid w:val="6AFA1DF8"/>
    <w:rsid w:val="6B2B2A30"/>
    <w:rsid w:val="6B3757AD"/>
    <w:rsid w:val="6B4254BD"/>
    <w:rsid w:val="6B5258A7"/>
    <w:rsid w:val="6BAE1542"/>
    <w:rsid w:val="6BCD3927"/>
    <w:rsid w:val="6C3728F3"/>
    <w:rsid w:val="6C5F203C"/>
    <w:rsid w:val="6C7C3BBC"/>
    <w:rsid w:val="6C8626DB"/>
    <w:rsid w:val="6C9032A5"/>
    <w:rsid w:val="6C953A6E"/>
    <w:rsid w:val="6C97176D"/>
    <w:rsid w:val="6CA479DE"/>
    <w:rsid w:val="6CAE481A"/>
    <w:rsid w:val="6CDB389F"/>
    <w:rsid w:val="6D041A3C"/>
    <w:rsid w:val="6D0A4B2B"/>
    <w:rsid w:val="6D0C72BD"/>
    <w:rsid w:val="6D3D64F1"/>
    <w:rsid w:val="6D4A18D5"/>
    <w:rsid w:val="6D814DFD"/>
    <w:rsid w:val="6DA148E0"/>
    <w:rsid w:val="6DC1041E"/>
    <w:rsid w:val="6DCD05EE"/>
    <w:rsid w:val="6DD83910"/>
    <w:rsid w:val="6E2C1FDB"/>
    <w:rsid w:val="6E8144AD"/>
    <w:rsid w:val="6EB121FE"/>
    <w:rsid w:val="6EBD4081"/>
    <w:rsid w:val="6F693309"/>
    <w:rsid w:val="6F7D1703"/>
    <w:rsid w:val="6FBD6F9C"/>
    <w:rsid w:val="6FD93949"/>
    <w:rsid w:val="700B2689"/>
    <w:rsid w:val="70365FEA"/>
    <w:rsid w:val="703F0882"/>
    <w:rsid w:val="705F7C9E"/>
    <w:rsid w:val="70860A96"/>
    <w:rsid w:val="70874BFF"/>
    <w:rsid w:val="70A66AA8"/>
    <w:rsid w:val="70C34543"/>
    <w:rsid w:val="70DE0BF1"/>
    <w:rsid w:val="70F36C68"/>
    <w:rsid w:val="710904C0"/>
    <w:rsid w:val="71333497"/>
    <w:rsid w:val="714551B6"/>
    <w:rsid w:val="71501683"/>
    <w:rsid w:val="71901697"/>
    <w:rsid w:val="719D2F4E"/>
    <w:rsid w:val="71A87A57"/>
    <w:rsid w:val="71AF4A4E"/>
    <w:rsid w:val="71D63F26"/>
    <w:rsid w:val="71E751F7"/>
    <w:rsid w:val="71EE05D4"/>
    <w:rsid w:val="72093433"/>
    <w:rsid w:val="72123807"/>
    <w:rsid w:val="721974DE"/>
    <w:rsid w:val="721E0F3C"/>
    <w:rsid w:val="724D70DF"/>
    <w:rsid w:val="726C157A"/>
    <w:rsid w:val="728F388B"/>
    <w:rsid w:val="729C6526"/>
    <w:rsid w:val="72AA5E39"/>
    <w:rsid w:val="72B953B4"/>
    <w:rsid w:val="72EA3CD6"/>
    <w:rsid w:val="73007DE4"/>
    <w:rsid w:val="734F2C0D"/>
    <w:rsid w:val="7398201C"/>
    <w:rsid w:val="739F4038"/>
    <w:rsid w:val="73AC31FD"/>
    <w:rsid w:val="740F428C"/>
    <w:rsid w:val="74124D4D"/>
    <w:rsid w:val="7456172B"/>
    <w:rsid w:val="74620EC9"/>
    <w:rsid w:val="746561E2"/>
    <w:rsid w:val="7477691B"/>
    <w:rsid w:val="74A47851"/>
    <w:rsid w:val="74CD0E3A"/>
    <w:rsid w:val="750E19D3"/>
    <w:rsid w:val="753639D2"/>
    <w:rsid w:val="755B1D57"/>
    <w:rsid w:val="75A27E74"/>
    <w:rsid w:val="75AC7D56"/>
    <w:rsid w:val="760D4D68"/>
    <w:rsid w:val="760E42DA"/>
    <w:rsid w:val="76133035"/>
    <w:rsid w:val="766124E4"/>
    <w:rsid w:val="7663551C"/>
    <w:rsid w:val="76ED419D"/>
    <w:rsid w:val="76EE7104"/>
    <w:rsid w:val="77637AAE"/>
    <w:rsid w:val="778D3904"/>
    <w:rsid w:val="778E5CE1"/>
    <w:rsid w:val="779E2DDF"/>
    <w:rsid w:val="78473236"/>
    <w:rsid w:val="78510AA1"/>
    <w:rsid w:val="78615A46"/>
    <w:rsid w:val="78925654"/>
    <w:rsid w:val="789508D2"/>
    <w:rsid w:val="78BF0FDA"/>
    <w:rsid w:val="78C856A8"/>
    <w:rsid w:val="78E3483F"/>
    <w:rsid w:val="78ED3105"/>
    <w:rsid w:val="78ED74AF"/>
    <w:rsid w:val="78F44C19"/>
    <w:rsid w:val="79046102"/>
    <w:rsid w:val="795802C2"/>
    <w:rsid w:val="796E0033"/>
    <w:rsid w:val="79791D51"/>
    <w:rsid w:val="79856743"/>
    <w:rsid w:val="79F148F6"/>
    <w:rsid w:val="79F30535"/>
    <w:rsid w:val="79FB7C32"/>
    <w:rsid w:val="7A113DB0"/>
    <w:rsid w:val="7A282F2B"/>
    <w:rsid w:val="7AD175C7"/>
    <w:rsid w:val="7AD52189"/>
    <w:rsid w:val="7B2D460B"/>
    <w:rsid w:val="7B5E040E"/>
    <w:rsid w:val="7B8C11B1"/>
    <w:rsid w:val="7B995A06"/>
    <w:rsid w:val="7BA2580D"/>
    <w:rsid w:val="7BAF5734"/>
    <w:rsid w:val="7BD15FBB"/>
    <w:rsid w:val="7BD64DEB"/>
    <w:rsid w:val="7BFF031F"/>
    <w:rsid w:val="7C130722"/>
    <w:rsid w:val="7C314097"/>
    <w:rsid w:val="7C587F67"/>
    <w:rsid w:val="7CAD5CDE"/>
    <w:rsid w:val="7CF54209"/>
    <w:rsid w:val="7D1328A6"/>
    <w:rsid w:val="7D232199"/>
    <w:rsid w:val="7D252F76"/>
    <w:rsid w:val="7DC94A30"/>
    <w:rsid w:val="7E0E6580"/>
    <w:rsid w:val="7E2A5D95"/>
    <w:rsid w:val="7E77024C"/>
    <w:rsid w:val="7E8B3BD0"/>
    <w:rsid w:val="7E9C4447"/>
    <w:rsid w:val="7E9D571A"/>
    <w:rsid w:val="7EA64E22"/>
    <w:rsid w:val="7EB465CC"/>
    <w:rsid w:val="7ECB7AA7"/>
    <w:rsid w:val="7ED2094C"/>
    <w:rsid w:val="7EF17F01"/>
    <w:rsid w:val="7F017194"/>
    <w:rsid w:val="7F5770A1"/>
    <w:rsid w:val="7F6D5D13"/>
    <w:rsid w:val="7F730F8A"/>
    <w:rsid w:val="7F7B2DF3"/>
    <w:rsid w:val="7FA87235"/>
    <w:rsid w:val="7FC376F6"/>
    <w:rsid w:val="7FE47A08"/>
    <w:rsid w:val="7FEA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ordia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7C3A3-9452-4C95-8CA3-F9091D6D5D01}">
  <ds:schemaRefs/>
</ds:datastoreItem>
</file>

<file path=docProps/app.xml><?xml version="1.0" encoding="utf-8"?>
<Properties xmlns="http://schemas.openxmlformats.org/officeDocument/2006/extended-properties" xmlns:vt="http://schemas.openxmlformats.org/officeDocument/2006/docPropsVTypes">
  <Template>Normal</Template>
  <Pages>8</Pages>
  <Words>4238</Words>
  <Characters>4333</Characters>
  <Lines>31</Lines>
  <Paragraphs>8</Paragraphs>
  <TotalTime>1</TotalTime>
  <ScaleCrop>false</ScaleCrop>
  <LinksUpToDate>false</LinksUpToDate>
  <CharactersWithSpaces>4349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2020-10-24T07:42:00Z</dcterms:created>
  <dc:creator>Administrator</dc:creator>
  <cp:lastModifiedBy>Dandelion</cp:lastModifiedBy>
  <cp:lastPrinted>2020-10-24T07:42:00Z</cp:lastPrinted>
  <dcterms:modified xsi:type="dcterms:W3CDTF">2022-07-08T10:02:36Z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AF67218F595B43108B6F51AB054669DC</vt:lpwstr>
  </property>
</Properties>
</file>